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3784F" w14:textId="77777777" w:rsidR="00CD2166" w:rsidRPr="00CD2166" w:rsidRDefault="00CD2166" w:rsidP="00CD2166">
      <w:pPr>
        <w:jc w:val="both"/>
        <w:rPr>
          <w:rFonts w:eastAsia="Times New Roman"/>
        </w:rPr>
      </w:pPr>
      <w:r>
        <w:rPr>
          <w:rFonts w:eastAsia="Times New Roman"/>
          <w:noProof/>
          <w:lang w:eastAsia="en-GB"/>
        </w:rPr>
        <mc:AlternateContent>
          <mc:Choice Requires="wps">
            <w:drawing>
              <wp:anchor distT="0" distB="0" distL="114300" distR="114300" simplePos="0" relativeHeight="251659264" behindDoc="0" locked="0" layoutInCell="1" allowOverlap="1" wp14:anchorId="277F3F09" wp14:editId="57A1FFB4">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B8882" w14:textId="77777777" w:rsidR="00CD2166" w:rsidRDefault="00CD2166" w:rsidP="00CD2166">
                            <w:r>
                              <w:rPr>
                                <w:noProof/>
                                <w:lang w:eastAsia="en-GB"/>
                              </w:rPr>
                              <w:drawing>
                                <wp:inline distT="0" distB="0" distL="0" distR="0" wp14:anchorId="1637D3F9" wp14:editId="76CBABAE">
                                  <wp:extent cx="943610" cy="1261110"/>
                                  <wp:effectExtent l="0" t="0" r="889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3610" cy="12611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CD2166" w:rsidRDefault="00CD2166" w:rsidP="00CD2166">
                      <w:r>
                        <w:rPr>
                          <w:noProof/>
                          <w:lang w:eastAsia="en-GB"/>
                        </w:rPr>
                        <w:drawing>
                          <wp:inline distT="0" distB="0" distL="0" distR="0" wp14:anchorId="40575253" wp14:editId="70FE1F87">
                            <wp:extent cx="943610" cy="1261110"/>
                            <wp:effectExtent l="0" t="0" r="889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3610" cy="1261110"/>
                                    </a:xfrm>
                                    <a:prstGeom prst="rect">
                                      <a:avLst/>
                                    </a:prstGeom>
                                    <a:noFill/>
                                    <a:ln>
                                      <a:noFill/>
                                    </a:ln>
                                  </pic:spPr>
                                </pic:pic>
                              </a:graphicData>
                            </a:graphic>
                          </wp:inline>
                        </w:drawing>
                      </w:r>
                    </w:p>
                  </w:txbxContent>
                </v:textbox>
              </v:shape>
            </w:pict>
          </mc:Fallback>
        </mc:AlternateContent>
      </w:r>
    </w:p>
    <w:p w14:paraId="528B3ECC" w14:textId="77777777" w:rsidR="00CD2166" w:rsidRPr="00CD2166" w:rsidRDefault="00CD2166" w:rsidP="00CD2166">
      <w:pPr>
        <w:jc w:val="both"/>
        <w:rPr>
          <w:rFonts w:eastAsia="Times New Roman"/>
          <w:b/>
          <w:bCs/>
        </w:rPr>
      </w:pPr>
    </w:p>
    <w:p w14:paraId="42F4F89E" w14:textId="77777777" w:rsidR="00CD2166" w:rsidRPr="00CD2166" w:rsidRDefault="00CD2166" w:rsidP="00CD2166">
      <w:pPr>
        <w:jc w:val="both"/>
        <w:rPr>
          <w:rFonts w:eastAsia="Times New Roman"/>
        </w:rPr>
      </w:pPr>
    </w:p>
    <w:p w14:paraId="4AF29D70" w14:textId="77777777" w:rsidR="00CD2166" w:rsidRPr="00CD2166" w:rsidRDefault="00CD2166" w:rsidP="00CD2166">
      <w:pPr>
        <w:tabs>
          <w:tab w:val="left" w:pos="2160"/>
        </w:tabs>
        <w:jc w:val="both"/>
        <w:rPr>
          <w:rFonts w:eastAsia="Times New Roman"/>
          <w:b/>
          <w:bCs/>
        </w:rPr>
      </w:pPr>
    </w:p>
    <w:p w14:paraId="588EBBEF" w14:textId="77777777" w:rsidR="00CD2166" w:rsidRPr="00CD2166" w:rsidRDefault="00CD2166" w:rsidP="00CD2166">
      <w:pPr>
        <w:keepNext/>
        <w:jc w:val="both"/>
        <w:outlineLvl w:val="1"/>
        <w:rPr>
          <w:rFonts w:eastAsia="Times New Roman"/>
          <w:b/>
          <w:bCs/>
          <w:u w:val="single"/>
        </w:rPr>
      </w:pPr>
    </w:p>
    <w:p w14:paraId="76CCAF64" w14:textId="77777777" w:rsidR="00CD2166" w:rsidRPr="00D63801" w:rsidRDefault="00CD2166" w:rsidP="00CD2166">
      <w:pPr>
        <w:tabs>
          <w:tab w:val="left" w:pos="2160"/>
        </w:tabs>
        <w:jc w:val="both"/>
        <w:rPr>
          <w:rFonts w:eastAsia="Times New Roman"/>
          <w:b/>
          <w:bCs/>
          <w:sz w:val="22"/>
          <w:szCs w:val="22"/>
        </w:rPr>
      </w:pPr>
      <w:r w:rsidRPr="00D63801">
        <w:rPr>
          <w:rFonts w:eastAsia="Times New Roman"/>
          <w:b/>
          <w:bCs/>
          <w:sz w:val="22"/>
          <w:szCs w:val="22"/>
        </w:rPr>
        <w:t>To:</w:t>
      </w:r>
      <w:r w:rsidR="008D1C91" w:rsidRPr="00D63801">
        <w:rPr>
          <w:rFonts w:eastAsia="Times New Roman"/>
          <w:b/>
          <w:bCs/>
          <w:sz w:val="22"/>
          <w:szCs w:val="22"/>
        </w:rPr>
        <w:t xml:space="preserve">  West Area Planning Committee   10</w:t>
      </w:r>
      <w:r w:rsidR="008D1C91" w:rsidRPr="00D63801">
        <w:rPr>
          <w:rFonts w:eastAsia="Times New Roman"/>
          <w:b/>
          <w:bCs/>
          <w:sz w:val="22"/>
          <w:szCs w:val="22"/>
          <w:vertAlign w:val="superscript"/>
        </w:rPr>
        <w:t>th</w:t>
      </w:r>
      <w:r w:rsidR="008D1C91" w:rsidRPr="00D63801">
        <w:rPr>
          <w:rFonts w:eastAsia="Times New Roman"/>
          <w:b/>
          <w:bCs/>
          <w:sz w:val="22"/>
          <w:szCs w:val="22"/>
        </w:rPr>
        <w:t xml:space="preserve"> December 2014</w:t>
      </w:r>
    </w:p>
    <w:p w14:paraId="25717AED" w14:textId="69056702" w:rsidR="00CD2166" w:rsidRPr="00D63801" w:rsidRDefault="008D1C91" w:rsidP="00CD2166">
      <w:pPr>
        <w:tabs>
          <w:tab w:val="left" w:pos="2160"/>
        </w:tabs>
        <w:jc w:val="both"/>
        <w:rPr>
          <w:rFonts w:eastAsia="Times New Roman"/>
          <w:b/>
          <w:bCs/>
          <w:sz w:val="22"/>
          <w:szCs w:val="22"/>
        </w:rPr>
      </w:pPr>
      <w:r w:rsidRPr="00D63801">
        <w:rPr>
          <w:rFonts w:eastAsia="Times New Roman"/>
          <w:b/>
          <w:bCs/>
          <w:sz w:val="22"/>
          <w:szCs w:val="22"/>
        </w:rPr>
        <w:t xml:space="preserve">        East Area Planning Committee    7</w:t>
      </w:r>
      <w:r w:rsidRPr="00D63801">
        <w:rPr>
          <w:rFonts w:eastAsia="Times New Roman"/>
          <w:b/>
          <w:bCs/>
          <w:sz w:val="22"/>
          <w:szCs w:val="22"/>
          <w:vertAlign w:val="superscript"/>
        </w:rPr>
        <w:t>th</w:t>
      </w:r>
      <w:r w:rsidRPr="00D63801">
        <w:rPr>
          <w:rFonts w:eastAsia="Times New Roman"/>
          <w:b/>
          <w:bCs/>
          <w:sz w:val="22"/>
          <w:szCs w:val="22"/>
        </w:rPr>
        <w:t xml:space="preserve"> January 2015</w:t>
      </w:r>
    </w:p>
    <w:p w14:paraId="5BC9E6B9" w14:textId="27F61484" w:rsidR="00CD2166" w:rsidRPr="00D63801" w:rsidRDefault="00CD2166" w:rsidP="007B0767">
      <w:pPr>
        <w:tabs>
          <w:tab w:val="left" w:pos="2160"/>
        </w:tabs>
        <w:jc w:val="both"/>
        <w:rPr>
          <w:rFonts w:eastAsia="Times New Roman"/>
          <w:b/>
          <w:bCs/>
          <w:sz w:val="22"/>
          <w:szCs w:val="22"/>
        </w:rPr>
      </w:pPr>
      <w:r w:rsidRPr="00D63801">
        <w:rPr>
          <w:rFonts w:eastAsia="Times New Roman"/>
          <w:b/>
          <w:bCs/>
          <w:sz w:val="22"/>
          <w:szCs w:val="22"/>
        </w:rPr>
        <w:tab/>
      </w:r>
      <w:r w:rsidRPr="00D63801">
        <w:rPr>
          <w:rFonts w:eastAsia="Times New Roman"/>
          <w:b/>
          <w:bCs/>
          <w:sz w:val="22"/>
          <w:szCs w:val="22"/>
        </w:rPr>
        <w:tab/>
      </w:r>
      <w:r w:rsidRPr="00D63801">
        <w:rPr>
          <w:rFonts w:eastAsia="Times New Roman"/>
          <w:b/>
          <w:bCs/>
          <w:sz w:val="22"/>
          <w:szCs w:val="22"/>
        </w:rPr>
        <w:tab/>
      </w:r>
      <w:r w:rsidRPr="00D63801">
        <w:rPr>
          <w:rFonts w:eastAsia="Times New Roman"/>
          <w:b/>
          <w:bCs/>
          <w:sz w:val="22"/>
          <w:szCs w:val="22"/>
        </w:rPr>
        <w:tab/>
      </w:r>
    </w:p>
    <w:p w14:paraId="6BA5217E" w14:textId="77777777" w:rsidR="00CD2166" w:rsidRPr="00D63801" w:rsidRDefault="00CD2166" w:rsidP="00CD2166">
      <w:pPr>
        <w:jc w:val="both"/>
        <w:rPr>
          <w:rFonts w:eastAsia="Times New Roman"/>
          <w:b/>
          <w:bCs/>
          <w:sz w:val="22"/>
          <w:szCs w:val="22"/>
        </w:rPr>
      </w:pPr>
    </w:p>
    <w:p w14:paraId="3902DA42" w14:textId="77777777" w:rsidR="00CD2166" w:rsidRPr="00D63801" w:rsidRDefault="00CD2166" w:rsidP="00CD2166">
      <w:pPr>
        <w:jc w:val="both"/>
        <w:rPr>
          <w:rFonts w:eastAsia="Times New Roman"/>
          <w:b/>
          <w:bCs/>
          <w:sz w:val="22"/>
          <w:szCs w:val="22"/>
        </w:rPr>
      </w:pPr>
      <w:r w:rsidRPr="00D63801">
        <w:rPr>
          <w:rFonts w:eastAsia="Times New Roman"/>
          <w:b/>
          <w:bCs/>
          <w:sz w:val="22"/>
          <w:szCs w:val="22"/>
        </w:rPr>
        <w:t>Report of:</w:t>
      </w:r>
      <w:r w:rsidRPr="00D63801">
        <w:rPr>
          <w:rFonts w:eastAsia="Times New Roman"/>
          <w:b/>
          <w:bCs/>
          <w:sz w:val="22"/>
          <w:szCs w:val="22"/>
        </w:rPr>
        <w:tab/>
      </w:r>
      <w:r w:rsidRPr="00D63801">
        <w:rPr>
          <w:rFonts w:eastAsia="Times New Roman"/>
          <w:b/>
          <w:bCs/>
          <w:sz w:val="22"/>
          <w:szCs w:val="22"/>
        </w:rPr>
        <w:tab/>
      </w:r>
      <w:r w:rsidRPr="00D63801">
        <w:rPr>
          <w:rFonts w:eastAsia="Times New Roman"/>
          <w:b/>
          <w:bCs/>
          <w:sz w:val="22"/>
          <w:szCs w:val="22"/>
        </w:rPr>
        <w:tab/>
        <w:t>Head of City Development</w:t>
      </w:r>
    </w:p>
    <w:p w14:paraId="3D7BD6A4" w14:textId="77777777" w:rsidR="00CD2166" w:rsidRPr="00D63801" w:rsidRDefault="00CD2166" w:rsidP="00CD2166">
      <w:pPr>
        <w:tabs>
          <w:tab w:val="left" w:pos="2160"/>
        </w:tabs>
        <w:jc w:val="both"/>
        <w:rPr>
          <w:rFonts w:eastAsia="Times New Roman"/>
          <w:b/>
          <w:bCs/>
          <w:sz w:val="22"/>
          <w:szCs w:val="22"/>
        </w:rPr>
      </w:pPr>
    </w:p>
    <w:p w14:paraId="52E6220D" w14:textId="0F4D9863" w:rsidR="00CD2166" w:rsidRPr="00D63801" w:rsidRDefault="00CD2166" w:rsidP="00CD2166">
      <w:pPr>
        <w:tabs>
          <w:tab w:val="left" w:pos="2160"/>
        </w:tabs>
        <w:jc w:val="both"/>
        <w:rPr>
          <w:rFonts w:eastAsia="Times New Roman"/>
          <w:b/>
          <w:bCs/>
          <w:sz w:val="22"/>
          <w:szCs w:val="22"/>
        </w:rPr>
      </w:pPr>
      <w:r w:rsidRPr="00D63801">
        <w:rPr>
          <w:rFonts w:eastAsia="Times New Roman"/>
          <w:b/>
          <w:bCs/>
          <w:sz w:val="22"/>
          <w:szCs w:val="22"/>
        </w:rPr>
        <w:t xml:space="preserve">Title of Report: </w:t>
      </w:r>
      <w:r w:rsidRPr="00D63801">
        <w:rPr>
          <w:rFonts w:eastAsia="Times New Roman"/>
          <w:b/>
          <w:bCs/>
          <w:sz w:val="22"/>
          <w:szCs w:val="22"/>
        </w:rPr>
        <w:tab/>
      </w:r>
      <w:r w:rsidRPr="00D63801">
        <w:rPr>
          <w:rFonts w:eastAsia="Times New Roman"/>
          <w:b/>
          <w:bCs/>
          <w:sz w:val="22"/>
          <w:szCs w:val="22"/>
        </w:rPr>
        <w:tab/>
      </w:r>
      <w:r w:rsidR="00661045">
        <w:rPr>
          <w:rFonts w:eastAsia="Times New Roman"/>
          <w:b/>
          <w:bCs/>
          <w:sz w:val="22"/>
          <w:szCs w:val="22"/>
        </w:rPr>
        <w:t>Oxford View Cones Study</w:t>
      </w:r>
    </w:p>
    <w:p w14:paraId="77858357" w14:textId="2BFEF1A7" w:rsidR="00CD2166" w:rsidRPr="007B0767" w:rsidRDefault="00CD2166" w:rsidP="007B0767">
      <w:pPr>
        <w:tabs>
          <w:tab w:val="left" w:pos="2160"/>
        </w:tabs>
        <w:jc w:val="both"/>
        <w:rPr>
          <w:rFonts w:eastAsia="Times New Roman"/>
          <w:sz w:val="22"/>
          <w:szCs w:val="22"/>
        </w:rPr>
      </w:pPr>
      <w:r w:rsidRPr="00D63801">
        <w:rPr>
          <w:rFonts w:eastAsia="Times New Roman"/>
          <w:b/>
          <w:bCs/>
          <w:sz w:val="22"/>
          <w:szCs w:val="22"/>
        </w:rPr>
        <w:tab/>
      </w:r>
      <w:r w:rsidRPr="00D63801">
        <w:rPr>
          <w:rFonts w:eastAsia="Times New Roman"/>
          <w:b/>
          <w:bCs/>
          <w:sz w:val="22"/>
          <w:szCs w:val="22"/>
        </w:rPr>
        <w:tab/>
        <w:t xml:space="preserve"> </w:t>
      </w:r>
    </w:p>
    <w:p w14:paraId="580CA501" w14:textId="77777777" w:rsidR="00CD2166" w:rsidRPr="00D63801" w:rsidRDefault="00CD2166" w:rsidP="007B0767">
      <w:pPr>
        <w:keepNext/>
        <w:pBdr>
          <w:top w:val="single" w:sz="4" w:space="1" w:color="auto"/>
          <w:left w:val="single" w:sz="4" w:space="1" w:color="auto"/>
          <w:bottom w:val="single" w:sz="4" w:space="15" w:color="auto"/>
          <w:right w:val="single" w:sz="4" w:space="4" w:color="auto"/>
        </w:pBdr>
        <w:jc w:val="both"/>
        <w:outlineLvl w:val="0"/>
        <w:rPr>
          <w:rFonts w:eastAsia="Times New Roman"/>
          <w:b/>
          <w:bCs/>
          <w:sz w:val="22"/>
          <w:szCs w:val="22"/>
          <w:u w:val="single"/>
        </w:rPr>
      </w:pPr>
    </w:p>
    <w:p w14:paraId="7822EFB3" w14:textId="77777777" w:rsidR="00CD2166" w:rsidRPr="00D63801" w:rsidRDefault="00CD2166" w:rsidP="007B0767">
      <w:pPr>
        <w:keepNext/>
        <w:pBdr>
          <w:top w:val="single" w:sz="4" w:space="1" w:color="auto"/>
          <w:left w:val="single" w:sz="4" w:space="1" w:color="auto"/>
          <w:bottom w:val="single" w:sz="4" w:space="15" w:color="auto"/>
          <w:right w:val="single" w:sz="4" w:space="4" w:color="auto"/>
        </w:pBdr>
        <w:jc w:val="both"/>
        <w:outlineLvl w:val="0"/>
        <w:rPr>
          <w:rFonts w:eastAsia="Times New Roman"/>
          <w:b/>
          <w:bCs/>
          <w:sz w:val="22"/>
          <w:szCs w:val="22"/>
          <w:u w:val="single"/>
        </w:rPr>
      </w:pPr>
      <w:r w:rsidRPr="00D63801">
        <w:rPr>
          <w:rFonts w:eastAsia="Times New Roman"/>
          <w:b/>
          <w:bCs/>
          <w:sz w:val="22"/>
          <w:szCs w:val="22"/>
          <w:u w:val="single"/>
        </w:rPr>
        <w:t>Summary and Recommendations</w:t>
      </w:r>
    </w:p>
    <w:p w14:paraId="51A30D0A" w14:textId="77777777" w:rsidR="00CD2166" w:rsidRPr="00D63801" w:rsidRDefault="00CD2166" w:rsidP="007B0767">
      <w:pPr>
        <w:pBdr>
          <w:top w:val="single" w:sz="4" w:space="1" w:color="auto"/>
          <w:left w:val="single" w:sz="4" w:space="1" w:color="auto"/>
          <w:bottom w:val="single" w:sz="4" w:space="15" w:color="auto"/>
          <w:right w:val="single" w:sz="4" w:space="4" w:color="auto"/>
        </w:pBdr>
        <w:jc w:val="both"/>
        <w:rPr>
          <w:rFonts w:eastAsia="Times New Roman"/>
          <w:sz w:val="22"/>
          <w:szCs w:val="22"/>
        </w:rPr>
      </w:pPr>
    </w:p>
    <w:p w14:paraId="77380D60" w14:textId="77777777" w:rsidR="00CD2166" w:rsidRPr="00D63801" w:rsidRDefault="00CD2166" w:rsidP="007B0767">
      <w:pPr>
        <w:pBdr>
          <w:top w:val="single" w:sz="4" w:space="1" w:color="auto"/>
          <w:left w:val="single" w:sz="4" w:space="1" w:color="auto"/>
          <w:bottom w:val="single" w:sz="4" w:space="15" w:color="auto"/>
          <w:right w:val="single" w:sz="4" w:space="4" w:color="auto"/>
        </w:pBdr>
        <w:jc w:val="both"/>
        <w:rPr>
          <w:rFonts w:eastAsia="Times New Roman"/>
          <w:sz w:val="22"/>
          <w:szCs w:val="22"/>
        </w:rPr>
      </w:pPr>
      <w:r w:rsidRPr="00D63801">
        <w:rPr>
          <w:rFonts w:eastAsia="Times New Roman"/>
          <w:b/>
          <w:bCs/>
          <w:sz w:val="22"/>
          <w:szCs w:val="22"/>
        </w:rPr>
        <w:t>Purpose of report</w:t>
      </w:r>
      <w:r w:rsidRPr="00D63801">
        <w:rPr>
          <w:rFonts w:eastAsia="Times New Roman"/>
          <w:sz w:val="22"/>
          <w:szCs w:val="22"/>
        </w:rPr>
        <w:t xml:space="preserve">:  To </w:t>
      </w:r>
      <w:r w:rsidR="00A4258C" w:rsidRPr="00D63801">
        <w:rPr>
          <w:rFonts w:eastAsia="Times New Roman"/>
          <w:sz w:val="22"/>
          <w:szCs w:val="22"/>
        </w:rPr>
        <w:t>present the completed study of the 10 protected view cones and seek the Committees’ comments and endorsement of the findings of the study</w:t>
      </w:r>
      <w:r w:rsidRPr="00D63801">
        <w:rPr>
          <w:rFonts w:eastAsia="Times New Roman"/>
          <w:sz w:val="22"/>
          <w:szCs w:val="22"/>
        </w:rPr>
        <w:tab/>
      </w:r>
      <w:r w:rsidRPr="00D63801">
        <w:rPr>
          <w:rFonts w:eastAsia="Times New Roman"/>
          <w:sz w:val="22"/>
          <w:szCs w:val="22"/>
        </w:rPr>
        <w:tab/>
      </w:r>
      <w:r w:rsidRPr="00D63801">
        <w:rPr>
          <w:rFonts w:eastAsia="Times New Roman"/>
          <w:sz w:val="22"/>
          <w:szCs w:val="22"/>
        </w:rPr>
        <w:tab/>
      </w:r>
      <w:r w:rsidRPr="00D63801">
        <w:rPr>
          <w:rFonts w:eastAsia="Times New Roman"/>
          <w:sz w:val="22"/>
          <w:szCs w:val="22"/>
        </w:rPr>
        <w:tab/>
      </w:r>
      <w:r w:rsidRPr="00D63801">
        <w:rPr>
          <w:rFonts w:eastAsia="Times New Roman"/>
          <w:sz w:val="22"/>
          <w:szCs w:val="22"/>
        </w:rPr>
        <w:tab/>
      </w:r>
    </w:p>
    <w:p w14:paraId="3C66066C" w14:textId="77777777" w:rsidR="00CD2166" w:rsidRPr="00D63801" w:rsidRDefault="00CD2166" w:rsidP="007B0767">
      <w:pPr>
        <w:keepNext/>
        <w:pBdr>
          <w:top w:val="single" w:sz="4" w:space="1" w:color="auto"/>
          <w:left w:val="single" w:sz="4" w:space="1" w:color="auto"/>
          <w:bottom w:val="single" w:sz="4" w:space="15" w:color="auto"/>
          <w:right w:val="single" w:sz="4" w:space="4" w:color="auto"/>
        </w:pBdr>
        <w:tabs>
          <w:tab w:val="left" w:pos="3062"/>
        </w:tabs>
        <w:jc w:val="both"/>
        <w:outlineLvl w:val="0"/>
        <w:rPr>
          <w:rFonts w:eastAsia="Times New Roman"/>
          <w:b/>
          <w:sz w:val="22"/>
          <w:szCs w:val="22"/>
        </w:rPr>
      </w:pPr>
      <w:r w:rsidRPr="00D63801">
        <w:rPr>
          <w:rFonts w:eastAsia="Times New Roman"/>
          <w:b/>
          <w:sz w:val="22"/>
          <w:szCs w:val="22"/>
        </w:rPr>
        <w:t xml:space="preserve">Key decision: </w:t>
      </w:r>
      <w:r w:rsidRPr="00D63801">
        <w:rPr>
          <w:rFonts w:eastAsia="Times New Roman"/>
          <w:sz w:val="22"/>
          <w:szCs w:val="22"/>
        </w:rPr>
        <w:t>No</w:t>
      </w:r>
    </w:p>
    <w:p w14:paraId="31114277" w14:textId="77777777" w:rsidR="00CD2166" w:rsidRPr="00D63801" w:rsidRDefault="00CD2166" w:rsidP="007B0767">
      <w:pPr>
        <w:pBdr>
          <w:top w:val="single" w:sz="4" w:space="1" w:color="auto"/>
          <w:left w:val="single" w:sz="4" w:space="1" w:color="auto"/>
          <w:bottom w:val="single" w:sz="4" w:space="15" w:color="auto"/>
          <w:right w:val="single" w:sz="4" w:space="4" w:color="auto"/>
        </w:pBdr>
        <w:jc w:val="both"/>
        <w:rPr>
          <w:rFonts w:eastAsia="Times New Roman"/>
          <w:sz w:val="22"/>
          <w:szCs w:val="22"/>
        </w:rPr>
      </w:pPr>
    </w:p>
    <w:p w14:paraId="3FEDAA2C" w14:textId="77777777" w:rsidR="00CD2166" w:rsidRPr="00D63801" w:rsidRDefault="00CD2166" w:rsidP="007B0767">
      <w:pPr>
        <w:keepNext/>
        <w:pBdr>
          <w:top w:val="single" w:sz="4" w:space="1" w:color="auto"/>
          <w:left w:val="single" w:sz="4" w:space="1" w:color="auto"/>
          <w:bottom w:val="single" w:sz="4" w:space="15" w:color="auto"/>
          <w:right w:val="single" w:sz="4" w:space="4" w:color="auto"/>
        </w:pBdr>
        <w:jc w:val="both"/>
        <w:outlineLvl w:val="0"/>
        <w:rPr>
          <w:rFonts w:eastAsia="Times New Roman"/>
          <w:b/>
          <w:bCs/>
          <w:sz w:val="22"/>
          <w:szCs w:val="22"/>
        </w:rPr>
      </w:pPr>
    </w:p>
    <w:p w14:paraId="1BA62058" w14:textId="3E4DA272" w:rsidR="00CD2166" w:rsidRPr="00D63801" w:rsidRDefault="00CD2166" w:rsidP="007B0767">
      <w:pPr>
        <w:pBdr>
          <w:top w:val="single" w:sz="4" w:space="1" w:color="auto"/>
          <w:left w:val="single" w:sz="4" w:space="1" w:color="auto"/>
          <w:bottom w:val="single" w:sz="4" w:space="15" w:color="auto"/>
          <w:right w:val="single" w:sz="4" w:space="4" w:color="auto"/>
        </w:pBdr>
        <w:jc w:val="both"/>
        <w:rPr>
          <w:rFonts w:eastAsia="Times New Roman"/>
          <w:bCs/>
          <w:sz w:val="22"/>
          <w:szCs w:val="22"/>
        </w:rPr>
      </w:pPr>
      <w:r w:rsidRPr="00D63801">
        <w:rPr>
          <w:rFonts w:eastAsia="Times New Roman"/>
          <w:b/>
          <w:bCs/>
          <w:sz w:val="22"/>
          <w:szCs w:val="22"/>
        </w:rPr>
        <w:t xml:space="preserve">Policy Framework: </w:t>
      </w:r>
      <w:r w:rsidR="00132B88">
        <w:rPr>
          <w:rFonts w:eastAsia="Times New Roman"/>
          <w:b/>
          <w:bCs/>
          <w:sz w:val="22"/>
          <w:szCs w:val="22"/>
        </w:rPr>
        <w:tab/>
      </w:r>
      <w:r w:rsidRPr="00D63801">
        <w:rPr>
          <w:rFonts w:eastAsia="Times New Roman"/>
          <w:bCs/>
          <w:sz w:val="22"/>
          <w:szCs w:val="22"/>
        </w:rPr>
        <w:t>National Planning Policy Framework</w:t>
      </w:r>
    </w:p>
    <w:p w14:paraId="4F3398F3" w14:textId="77777777" w:rsidR="00CD2166" w:rsidRPr="00D63801" w:rsidRDefault="00CD2166" w:rsidP="007B0767">
      <w:pPr>
        <w:pBdr>
          <w:top w:val="single" w:sz="4" w:space="1" w:color="auto"/>
          <w:left w:val="single" w:sz="4" w:space="1" w:color="auto"/>
          <w:bottom w:val="single" w:sz="4" w:space="15" w:color="auto"/>
          <w:right w:val="single" w:sz="4" w:space="4" w:color="auto"/>
        </w:pBdr>
        <w:jc w:val="both"/>
        <w:rPr>
          <w:rFonts w:eastAsia="Times New Roman"/>
          <w:bCs/>
          <w:sz w:val="22"/>
          <w:szCs w:val="22"/>
        </w:rPr>
      </w:pPr>
      <w:r w:rsidRPr="00D63801">
        <w:rPr>
          <w:rFonts w:eastAsia="Times New Roman"/>
          <w:bCs/>
          <w:sz w:val="22"/>
          <w:szCs w:val="22"/>
        </w:rPr>
        <w:tab/>
      </w:r>
      <w:r w:rsidRPr="00D63801">
        <w:rPr>
          <w:rFonts w:eastAsia="Times New Roman"/>
          <w:bCs/>
          <w:sz w:val="22"/>
          <w:szCs w:val="22"/>
        </w:rPr>
        <w:tab/>
      </w:r>
      <w:r w:rsidRPr="00D63801">
        <w:rPr>
          <w:rFonts w:eastAsia="Times New Roman"/>
          <w:bCs/>
          <w:sz w:val="22"/>
          <w:szCs w:val="22"/>
        </w:rPr>
        <w:tab/>
        <w:t>Adopted Oxford Local Plan 2001-2016</w:t>
      </w:r>
    </w:p>
    <w:p w14:paraId="097F78F9" w14:textId="77777777" w:rsidR="00CD2166" w:rsidRPr="00D63801" w:rsidRDefault="00CD2166" w:rsidP="007B0767">
      <w:pPr>
        <w:pBdr>
          <w:top w:val="single" w:sz="4" w:space="1" w:color="auto"/>
          <w:left w:val="single" w:sz="4" w:space="1" w:color="auto"/>
          <w:bottom w:val="single" w:sz="4" w:space="15" w:color="auto"/>
          <w:right w:val="single" w:sz="4" w:space="4" w:color="auto"/>
        </w:pBdr>
        <w:jc w:val="both"/>
        <w:rPr>
          <w:rFonts w:eastAsia="Times New Roman"/>
          <w:bCs/>
          <w:sz w:val="22"/>
          <w:szCs w:val="22"/>
        </w:rPr>
      </w:pPr>
      <w:r w:rsidRPr="00D63801">
        <w:rPr>
          <w:rFonts w:eastAsia="Times New Roman"/>
          <w:bCs/>
          <w:sz w:val="22"/>
          <w:szCs w:val="22"/>
        </w:rPr>
        <w:tab/>
      </w:r>
      <w:r w:rsidRPr="00D63801">
        <w:rPr>
          <w:rFonts w:eastAsia="Times New Roman"/>
          <w:bCs/>
          <w:sz w:val="22"/>
          <w:szCs w:val="22"/>
        </w:rPr>
        <w:tab/>
      </w:r>
      <w:r w:rsidRPr="00D63801">
        <w:rPr>
          <w:rFonts w:eastAsia="Times New Roman"/>
          <w:bCs/>
          <w:sz w:val="22"/>
          <w:szCs w:val="22"/>
        </w:rPr>
        <w:tab/>
        <w:t>Core Strategy 2006-2026</w:t>
      </w:r>
    </w:p>
    <w:p w14:paraId="7A50A200" w14:textId="77777777" w:rsidR="00CD2166" w:rsidRPr="00D63801" w:rsidRDefault="00CD2166" w:rsidP="007B0767">
      <w:pPr>
        <w:pBdr>
          <w:top w:val="single" w:sz="4" w:space="1" w:color="auto"/>
          <w:left w:val="single" w:sz="4" w:space="1" w:color="auto"/>
          <w:bottom w:val="single" w:sz="4" w:space="15" w:color="auto"/>
          <w:right w:val="single" w:sz="4" w:space="4" w:color="auto"/>
        </w:pBdr>
        <w:jc w:val="both"/>
        <w:rPr>
          <w:rFonts w:eastAsia="Times New Roman"/>
          <w:b/>
          <w:bCs/>
          <w:sz w:val="22"/>
          <w:szCs w:val="22"/>
        </w:rPr>
      </w:pPr>
      <w:r w:rsidRPr="00D63801">
        <w:rPr>
          <w:rFonts w:eastAsia="Times New Roman"/>
          <w:b/>
          <w:bCs/>
          <w:sz w:val="22"/>
          <w:szCs w:val="22"/>
        </w:rPr>
        <w:t xml:space="preserve">Legislative Framework: </w:t>
      </w:r>
      <w:r w:rsidRPr="00D63801">
        <w:rPr>
          <w:rFonts w:eastAsia="Times New Roman"/>
          <w:b/>
          <w:bCs/>
          <w:sz w:val="22"/>
          <w:szCs w:val="22"/>
        </w:rPr>
        <w:tab/>
      </w:r>
    </w:p>
    <w:p w14:paraId="0263C706" w14:textId="77777777" w:rsidR="00CD2166" w:rsidRPr="00D63801" w:rsidRDefault="00CD2166" w:rsidP="007B0767">
      <w:pPr>
        <w:pBdr>
          <w:top w:val="single" w:sz="4" w:space="1" w:color="auto"/>
          <w:left w:val="single" w:sz="4" w:space="1" w:color="auto"/>
          <w:bottom w:val="single" w:sz="4" w:space="15" w:color="auto"/>
          <w:right w:val="single" w:sz="4" w:space="4" w:color="auto"/>
        </w:pBdr>
        <w:jc w:val="both"/>
        <w:rPr>
          <w:rFonts w:eastAsia="Times New Roman"/>
          <w:bCs/>
          <w:sz w:val="22"/>
          <w:szCs w:val="22"/>
        </w:rPr>
      </w:pPr>
      <w:r w:rsidRPr="00D63801">
        <w:rPr>
          <w:rFonts w:eastAsia="Times New Roman"/>
          <w:bCs/>
          <w:sz w:val="22"/>
          <w:szCs w:val="22"/>
        </w:rPr>
        <w:t>Planning (Listed Buildings and Conservation Areas) Act 1990 (as amended)</w:t>
      </w:r>
    </w:p>
    <w:p w14:paraId="48D6EFBF" w14:textId="77777777" w:rsidR="00CD2166" w:rsidRPr="00D63801" w:rsidRDefault="00A4258C" w:rsidP="007B0767">
      <w:pPr>
        <w:pBdr>
          <w:top w:val="single" w:sz="4" w:space="1" w:color="auto"/>
          <w:left w:val="single" w:sz="4" w:space="1" w:color="auto"/>
          <w:bottom w:val="single" w:sz="4" w:space="15" w:color="auto"/>
          <w:right w:val="single" w:sz="4" w:space="4" w:color="auto"/>
        </w:pBdr>
        <w:jc w:val="both"/>
        <w:rPr>
          <w:rFonts w:eastAsia="Times New Roman"/>
          <w:bCs/>
          <w:sz w:val="22"/>
          <w:szCs w:val="22"/>
        </w:rPr>
      </w:pPr>
      <w:r w:rsidRPr="00D63801">
        <w:rPr>
          <w:rFonts w:eastAsia="Times New Roman"/>
          <w:bCs/>
          <w:sz w:val="22"/>
          <w:szCs w:val="22"/>
        </w:rPr>
        <w:t>Town and Country Planning Act 1990</w:t>
      </w:r>
    </w:p>
    <w:p w14:paraId="78B83F90" w14:textId="77777777" w:rsidR="00CD2166" w:rsidRPr="00D63801" w:rsidRDefault="00CD2166" w:rsidP="007B0767">
      <w:pPr>
        <w:pBdr>
          <w:top w:val="single" w:sz="4" w:space="1" w:color="auto"/>
          <w:left w:val="single" w:sz="4" w:space="1" w:color="auto"/>
          <w:bottom w:val="single" w:sz="4" w:space="15" w:color="auto"/>
          <w:right w:val="single" w:sz="4" w:space="4" w:color="auto"/>
        </w:pBdr>
        <w:jc w:val="both"/>
        <w:rPr>
          <w:rFonts w:eastAsia="Times New Roman"/>
          <w:b/>
          <w:bCs/>
          <w:sz w:val="22"/>
          <w:szCs w:val="22"/>
        </w:rPr>
      </w:pPr>
    </w:p>
    <w:p w14:paraId="4F6B6B9A" w14:textId="77777777" w:rsidR="00A4258C" w:rsidRPr="00D63801" w:rsidRDefault="00CD2166" w:rsidP="007B0767">
      <w:pPr>
        <w:pBdr>
          <w:top w:val="single" w:sz="4" w:space="1" w:color="auto"/>
          <w:left w:val="single" w:sz="4" w:space="1" w:color="auto"/>
          <w:bottom w:val="single" w:sz="4" w:space="15" w:color="auto"/>
          <w:right w:val="single" w:sz="4" w:space="4" w:color="auto"/>
        </w:pBdr>
        <w:tabs>
          <w:tab w:val="left" w:pos="3048"/>
        </w:tabs>
        <w:jc w:val="both"/>
        <w:rPr>
          <w:rFonts w:eastAsia="Times New Roman"/>
          <w:b/>
          <w:sz w:val="22"/>
          <w:szCs w:val="22"/>
        </w:rPr>
      </w:pPr>
      <w:r w:rsidRPr="00D63801">
        <w:rPr>
          <w:rFonts w:eastAsia="Times New Roman"/>
          <w:b/>
          <w:sz w:val="22"/>
          <w:szCs w:val="22"/>
        </w:rPr>
        <w:t xml:space="preserve">Recommendation(s): </w:t>
      </w:r>
      <w:r w:rsidRPr="00D63801">
        <w:rPr>
          <w:rFonts w:eastAsia="Times New Roman"/>
          <w:b/>
          <w:sz w:val="22"/>
          <w:szCs w:val="22"/>
        </w:rPr>
        <w:tab/>
      </w:r>
      <w:r w:rsidR="00A4258C" w:rsidRPr="00D63801">
        <w:rPr>
          <w:rFonts w:eastAsia="Times New Roman"/>
          <w:sz w:val="22"/>
          <w:szCs w:val="22"/>
        </w:rPr>
        <w:t>That the Committee</w:t>
      </w:r>
    </w:p>
    <w:p w14:paraId="670BC930" w14:textId="77777777" w:rsidR="00950B6D" w:rsidRPr="00D63801" w:rsidRDefault="00950B6D" w:rsidP="007B0767">
      <w:pPr>
        <w:widowControl w:val="0"/>
        <w:pBdr>
          <w:top w:val="single" w:sz="4" w:space="1" w:color="auto"/>
          <w:left w:val="single" w:sz="4" w:space="1" w:color="auto"/>
          <w:bottom w:val="single" w:sz="4" w:space="15" w:color="auto"/>
          <w:right w:val="single" w:sz="4" w:space="4" w:color="auto"/>
        </w:pBdr>
        <w:tabs>
          <w:tab w:val="left" w:pos="709"/>
        </w:tabs>
        <w:ind w:firstLine="426"/>
        <w:jc w:val="both"/>
        <w:rPr>
          <w:rFonts w:eastAsia="Times New Roman"/>
          <w:b/>
          <w:sz w:val="22"/>
          <w:szCs w:val="22"/>
        </w:rPr>
      </w:pPr>
    </w:p>
    <w:p w14:paraId="7E0BE0EF" w14:textId="580204F6" w:rsidR="00950B6D" w:rsidRPr="00D63801" w:rsidRDefault="00950B6D" w:rsidP="007B0767">
      <w:pPr>
        <w:widowControl w:val="0"/>
        <w:pBdr>
          <w:top w:val="single" w:sz="4" w:space="1" w:color="auto"/>
          <w:left w:val="single" w:sz="4" w:space="1" w:color="auto"/>
          <w:bottom w:val="single" w:sz="4" w:space="15" w:color="auto"/>
          <w:right w:val="single" w:sz="4" w:space="4" w:color="auto"/>
        </w:pBdr>
        <w:tabs>
          <w:tab w:val="left" w:pos="426"/>
        </w:tabs>
        <w:ind w:left="426" w:hanging="426"/>
        <w:jc w:val="both"/>
        <w:rPr>
          <w:rFonts w:eastAsia="Times New Roman"/>
          <w:sz w:val="22"/>
          <w:szCs w:val="22"/>
        </w:rPr>
      </w:pPr>
      <w:r w:rsidRPr="00D63801">
        <w:rPr>
          <w:rFonts w:eastAsia="Times New Roman"/>
          <w:sz w:val="22"/>
          <w:szCs w:val="22"/>
        </w:rPr>
        <w:t>a)</w:t>
      </w:r>
      <w:r w:rsidR="00132B88">
        <w:rPr>
          <w:rFonts w:eastAsia="Times New Roman"/>
          <w:b/>
          <w:sz w:val="22"/>
          <w:szCs w:val="22"/>
        </w:rPr>
        <w:tab/>
      </w:r>
      <w:r w:rsidRPr="00D63801">
        <w:rPr>
          <w:rFonts w:eastAsia="Times New Roman"/>
          <w:sz w:val="22"/>
          <w:szCs w:val="22"/>
        </w:rPr>
        <w:t>supports the conclusions of the study and agrees with the assessments of</w:t>
      </w:r>
      <w:r w:rsidR="00052740">
        <w:rPr>
          <w:rFonts w:eastAsia="Times New Roman"/>
          <w:sz w:val="22"/>
          <w:szCs w:val="22"/>
        </w:rPr>
        <w:t xml:space="preserve"> </w:t>
      </w:r>
      <w:r w:rsidRPr="00D63801">
        <w:rPr>
          <w:rFonts w:eastAsia="Times New Roman"/>
          <w:sz w:val="22"/>
          <w:szCs w:val="22"/>
        </w:rPr>
        <w:t xml:space="preserve">each of the views </w:t>
      </w:r>
    </w:p>
    <w:p w14:paraId="28C139CB" w14:textId="70AC185A" w:rsidR="00A4258C" w:rsidRPr="00D63801" w:rsidRDefault="00052740" w:rsidP="007B0767">
      <w:pPr>
        <w:widowControl w:val="0"/>
        <w:pBdr>
          <w:top w:val="single" w:sz="4" w:space="1" w:color="auto"/>
          <w:left w:val="single" w:sz="4" w:space="1" w:color="auto"/>
          <w:bottom w:val="single" w:sz="4" w:space="15" w:color="auto"/>
          <w:right w:val="single" w:sz="4" w:space="4" w:color="auto"/>
        </w:pBdr>
        <w:tabs>
          <w:tab w:val="left" w:pos="426"/>
        </w:tabs>
        <w:ind w:left="426" w:hanging="426"/>
        <w:jc w:val="both"/>
        <w:rPr>
          <w:rFonts w:eastAsia="Times New Roman"/>
          <w:sz w:val="22"/>
          <w:szCs w:val="22"/>
        </w:rPr>
      </w:pPr>
      <w:r>
        <w:rPr>
          <w:rFonts w:eastAsia="Times New Roman"/>
          <w:sz w:val="22"/>
          <w:szCs w:val="22"/>
        </w:rPr>
        <w:t>b)</w:t>
      </w:r>
      <w:r w:rsidR="00132B88">
        <w:rPr>
          <w:rFonts w:eastAsia="Times New Roman"/>
          <w:sz w:val="22"/>
          <w:szCs w:val="22"/>
        </w:rPr>
        <w:tab/>
      </w:r>
      <w:r w:rsidR="00A4258C" w:rsidRPr="00D63801">
        <w:rPr>
          <w:rFonts w:eastAsia="Times New Roman"/>
          <w:sz w:val="22"/>
          <w:szCs w:val="22"/>
        </w:rPr>
        <w:t>agrees the actions</w:t>
      </w:r>
      <w:r w:rsidR="00564203">
        <w:rPr>
          <w:rFonts w:eastAsia="Times New Roman"/>
          <w:sz w:val="22"/>
          <w:szCs w:val="22"/>
        </w:rPr>
        <w:t xml:space="preserve"> and suggested changes</w:t>
      </w:r>
      <w:r w:rsidR="00A4258C" w:rsidRPr="00D63801">
        <w:rPr>
          <w:rFonts w:eastAsia="Times New Roman"/>
          <w:sz w:val="22"/>
          <w:szCs w:val="22"/>
        </w:rPr>
        <w:t xml:space="preserve"> in the consultation report, </w:t>
      </w:r>
      <w:r w:rsidR="00564203">
        <w:rPr>
          <w:rFonts w:eastAsia="Times New Roman"/>
          <w:sz w:val="22"/>
          <w:szCs w:val="22"/>
        </w:rPr>
        <w:t>which</w:t>
      </w:r>
      <w:r w:rsidR="00A4258C" w:rsidRPr="00D63801">
        <w:rPr>
          <w:rFonts w:eastAsia="Times New Roman"/>
          <w:sz w:val="22"/>
          <w:szCs w:val="22"/>
        </w:rPr>
        <w:t xml:space="preserve"> reflect consultation responses</w:t>
      </w:r>
    </w:p>
    <w:p w14:paraId="17D2FC16" w14:textId="41ED58B4" w:rsidR="008D1C91" w:rsidRDefault="00052740" w:rsidP="007B0767">
      <w:pPr>
        <w:widowControl w:val="0"/>
        <w:pBdr>
          <w:top w:val="single" w:sz="4" w:space="1" w:color="auto"/>
          <w:left w:val="single" w:sz="4" w:space="1" w:color="auto"/>
          <w:bottom w:val="single" w:sz="4" w:space="15" w:color="auto"/>
          <w:right w:val="single" w:sz="4" w:space="4" w:color="auto"/>
        </w:pBdr>
        <w:tabs>
          <w:tab w:val="left" w:pos="426"/>
        </w:tabs>
        <w:ind w:left="426" w:hanging="426"/>
        <w:jc w:val="both"/>
        <w:rPr>
          <w:rFonts w:eastAsia="Times New Roman"/>
          <w:sz w:val="22"/>
          <w:szCs w:val="22"/>
        </w:rPr>
      </w:pPr>
      <w:r>
        <w:rPr>
          <w:rFonts w:eastAsia="Times New Roman"/>
          <w:sz w:val="22"/>
          <w:szCs w:val="22"/>
        </w:rPr>
        <w:t>c)</w:t>
      </w:r>
      <w:r>
        <w:rPr>
          <w:rFonts w:eastAsia="Times New Roman"/>
          <w:sz w:val="22"/>
          <w:szCs w:val="22"/>
        </w:rPr>
        <w:tab/>
      </w:r>
      <w:r w:rsidR="00132B88">
        <w:rPr>
          <w:rFonts w:eastAsia="Times New Roman"/>
          <w:sz w:val="22"/>
          <w:szCs w:val="22"/>
        </w:rPr>
        <w:t>endorse the view cones assessment</w:t>
      </w:r>
      <w:r w:rsidR="00564203">
        <w:rPr>
          <w:rFonts w:eastAsia="Times New Roman"/>
          <w:sz w:val="22"/>
          <w:szCs w:val="22"/>
        </w:rPr>
        <w:t xml:space="preserve">, which will be used as background evidence and will be a material consideration in the determination of relevant applications. </w:t>
      </w:r>
    </w:p>
    <w:p w14:paraId="4EE65076" w14:textId="77777777" w:rsidR="00CB22D7" w:rsidRPr="00950B6D" w:rsidRDefault="00CB22D7" w:rsidP="000A7BC6">
      <w:pPr>
        <w:pStyle w:val="luctext"/>
        <w:numPr>
          <w:ilvl w:val="0"/>
          <w:numId w:val="0"/>
        </w:numPr>
        <w:spacing w:before="120"/>
        <w:ind w:left="709"/>
        <w:jc w:val="both"/>
        <w:rPr>
          <w:rFonts w:ascii="Arial" w:hAnsi="Arial" w:cs="Arial"/>
          <w:b/>
          <w:sz w:val="22"/>
          <w:szCs w:val="22"/>
        </w:rPr>
      </w:pPr>
      <w:r w:rsidRPr="00950B6D">
        <w:rPr>
          <w:rFonts w:ascii="Arial" w:hAnsi="Arial" w:cs="Arial"/>
          <w:b/>
          <w:sz w:val="22"/>
          <w:szCs w:val="22"/>
        </w:rPr>
        <w:t>Introduction</w:t>
      </w:r>
    </w:p>
    <w:p w14:paraId="74A99495" w14:textId="77777777" w:rsidR="00CB22D7" w:rsidRPr="00950B6D" w:rsidRDefault="00CB22D7" w:rsidP="000A7BC6">
      <w:pPr>
        <w:pStyle w:val="luctext"/>
        <w:numPr>
          <w:ilvl w:val="0"/>
          <w:numId w:val="5"/>
        </w:numPr>
        <w:spacing w:before="120"/>
        <w:jc w:val="both"/>
        <w:rPr>
          <w:rFonts w:ascii="Arial" w:hAnsi="Arial" w:cs="Arial"/>
          <w:sz w:val="22"/>
          <w:szCs w:val="22"/>
        </w:rPr>
      </w:pPr>
      <w:r w:rsidRPr="00950B6D">
        <w:rPr>
          <w:rFonts w:ascii="Arial" w:hAnsi="Arial" w:cs="Arial"/>
          <w:sz w:val="22"/>
          <w:szCs w:val="22"/>
        </w:rPr>
        <w:t>The ‘dreaming spires’ of Oxford are an internationally recognised symbol of the city and its renowned University. The image of the ancient city in its green setting draws visitors from around the world. The opportunity to walk into and through Oxford’s countryside setting and look back on the city’s domes, towers and spires from the green valley or hillsides is valued by its residents as a rich inheritance that should be carefully protected for future generations.</w:t>
      </w:r>
    </w:p>
    <w:p w14:paraId="28B6108A" w14:textId="56DB0B16" w:rsidR="00CB22D7" w:rsidRPr="00950B6D" w:rsidRDefault="00CB22D7" w:rsidP="000A7BC6">
      <w:pPr>
        <w:pStyle w:val="ListParagraph"/>
        <w:numPr>
          <w:ilvl w:val="0"/>
          <w:numId w:val="5"/>
        </w:numPr>
        <w:spacing w:before="120" w:after="120"/>
        <w:contextualSpacing w:val="0"/>
        <w:jc w:val="both"/>
        <w:rPr>
          <w:rFonts w:eastAsia="Times New Roman"/>
          <w:sz w:val="22"/>
          <w:szCs w:val="22"/>
          <w:lang w:eastAsia="en-GB"/>
        </w:rPr>
      </w:pPr>
      <w:r w:rsidRPr="00950B6D">
        <w:rPr>
          <w:rFonts w:eastAsia="Times New Roman"/>
          <w:sz w:val="22"/>
          <w:szCs w:val="22"/>
          <w:lang w:eastAsia="en-GB"/>
        </w:rPr>
        <w:t>The historic environment of Oxford is an integral part of a thriving C21st city, facing particular challenges in accommodating new development that sustain</w:t>
      </w:r>
      <w:r w:rsidR="00E02DEA" w:rsidRPr="00950B6D">
        <w:rPr>
          <w:rFonts w:eastAsia="Times New Roman"/>
          <w:sz w:val="22"/>
          <w:szCs w:val="22"/>
          <w:lang w:eastAsia="en-GB"/>
        </w:rPr>
        <w:t>s</w:t>
      </w:r>
      <w:r w:rsidRPr="00950B6D">
        <w:rPr>
          <w:rFonts w:eastAsia="Times New Roman"/>
          <w:sz w:val="22"/>
          <w:szCs w:val="22"/>
          <w:lang w:eastAsia="en-GB"/>
        </w:rPr>
        <w:t xml:space="preserve"> its academic, research and commercial profile and meet</w:t>
      </w:r>
      <w:r w:rsidR="003C4ACA">
        <w:rPr>
          <w:rFonts w:eastAsia="Times New Roman"/>
          <w:sz w:val="22"/>
          <w:szCs w:val="22"/>
          <w:lang w:eastAsia="en-GB"/>
        </w:rPr>
        <w:t>s</w:t>
      </w:r>
      <w:r w:rsidRPr="00950B6D">
        <w:rPr>
          <w:rFonts w:eastAsia="Times New Roman"/>
          <w:sz w:val="22"/>
          <w:szCs w:val="22"/>
          <w:lang w:eastAsia="en-GB"/>
        </w:rPr>
        <w:t xml:space="preserve"> the needs of its growing population.  In 1962 the City Architect and Planning Officer observed that siting high buildings in Oxford presents particular problems because of the city’s unique skyline.  These observations led to the establishment of high buildings and view cone policies, which have been retained, with some adaptation</w:t>
      </w:r>
      <w:r w:rsidR="003C4ACA">
        <w:rPr>
          <w:rFonts w:eastAsia="Times New Roman"/>
          <w:sz w:val="22"/>
          <w:szCs w:val="22"/>
          <w:lang w:eastAsia="en-GB"/>
        </w:rPr>
        <w:t>,</w:t>
      </w:r>
      <w:r w:rsidRPr="00950B6D">
        <w:rPr>
          <w:rFonts w:eastAsia="Times New Roman"/>
          <w:sz w:val="22"/>
          <w:szCs w:val="22"/>
          <w:lang w:eastAsia="en-GB"/>
        </w:rPr>
        <w:t xml:space="preserve"> in successive development plans.  </w:t>
      </w:r>
    </w:p>
    <w:p w14:paraId="6BA55413" w14:textId="416A88C6" w:rsidR="00CB22D7" w:rsidRDefault="00CB22D7" w:rsidP="000A7BC6">
      <w:pPr>
        <w:pStyle w:val="ListParagraph"/>
        <w:numPr>
          <w:ilvl w:val="0"/>
          <w:numId w:val="5"/>
        </w:numPr>
        <w:spacing w:before="120" w:after="120"/>
        <w:contextualSpacing w:val="0"/>
        <w:jc w:val="both"/>
        <w:rPr>
          <w:rFonts w:eastAsia="Times New Roman"/>
          <w:sz w:val="22"/>
          <w:szCs w:val="22"/>
          <w:lang w:eastAsia="en-GB"/>
        </w:rPr>
      </w:pPr>
      <w:r w:rsidRPr="00950B6D">
        <w:rPr>
          <w:rFonts w:eastAsia="Times New Roman"/>
          <w:sz w:val="22"/>
          <w:szCs w:val="22"/>
          <w:lang w:eastAsia="en-GB"/>
        </w:rPr>
        <w:lastRenderedPageBreak/>
        <w:t xml:space="preserve">This study has been prepared to </w:t>
      </w:r>
      <w:r w:rsidR="00DF602E" w:rsidRPr="00950B6D">
        <w:rPr>
          <w:rFonts w:eastAsia="Times New Roman"/>
          <w:sz w:val="22"/>
          <w:szCs w:val="22"/>
          <w:lang w:eastAsia="en-GB"/>
        </w:rPr>
        <w:t xml:space="preserve">understand the </w:t>
      </w:r>
      <w:r w:rsidRPr="00950B6D">
        <w:rPr>
          <w:rFonts w:eastAsia="Times New Roman"/>
          <w:sz w:val="22"/>
          <w:szCs w:val="22"/>
          <w:lang w:eastAsia="en-GB"/>
        </w:rPr>
        <w:t xml:space="preserve">significance of each of the views </w:t>
      </w:r>
      <w:r w:rsidR="007D53B4" w:rsidRPr="00950B6D">
        <w:rPr>
          <w:rFonts w:eastAsia="Times New Roman"/>
          <w:sz w:val="22"/>
          <w:szCs w:val="22"/>
          <w:lang w:eastAsia="en-GB"/>
        </w:rPr>
        <w:t>and the contribution to</w:t>
      </w:r>
      <w:r w:rsidRPr="00950B6D">
        <w:rPr>
          <w:rFonts w:eastAsia="Times New Roman"/>
          <w:sz w:val="22"/>
          <w:szCs w:val="22"/>
          <w:lang w:eastAsia="en-GB"/>
        </w:rPr>
        <w:t xml:space="preserve"> Oxford’s heritage</w:t>
      </w:r>
      <w:r w:rsidR="00492FB6">
        <w:rPr>
          <w:rFonts w:eastAsia="Times New Roman"/>
          <w:sz w:val="22"/>
          <w:szCs w:val="22"/>
          <w:lang w:eastAsia="en-GB"/>
        </w:rPr>
        <w:t xml:space="preserve"> (</w:t>
      </w:r>
      <w:r w:rsidR="00492FB6" w:rsidRPr="00492FB6">
        <w:rPr>
          <w:rFonts w:eastAsia="Times New Roman"/>
          <w:b/>
          <w:sz w:val="22"/>
          <w:szCs w:val="22"/>
          <w:lang w:eastAsia="en-GB"/>
        </w:rPr>
        <w:t>Appendix 1</w:t>
      </w:r>
      <w:r w:rsidR="00492FB6">
        <w:rPr>
          <w:rFonts w:eastAsia="Times New Roman"/>
          <w:sz w:val="22"/>
          <w:szCs w:val="22"/>
          <w:lang w:eastAsia="en-GB"/>
        </w:rPr>
        <w:t>)</w:t>
      </w:r>
      <w:r w:rsidRPr="00950B6D">
        <w:rPr>
          <w:rFonts w:eastAsia="Times New Roman"/>
          <w:sz w:val="22"/>
          <w:szCs w:val="22"/>
          <w:lang w:eastAsia="en-GB"/>
        </w:rPr>
        <w:t>. It is part of a suite of studies that the City</w:t>
      </w:r>
      <w:r w:rsidR="007D53B4" w:rsidRPr="00950B6D">
        <w:rPr>
          <w:rFonts w:eastAsia="Times New Roman"/>
          <w:sz w:val="22"/>
          <w:szCs w:val="22"/>
          <w:lang w:eastAsia="en-GB"/>
        </w:rPr>
        <w:t xml:space="preserve"> Council</w:t>
      </w:r>
      <w:r w:rsidRPr="00950B6D">
        <w:rPr>
          <w:rFonts w:eastAsia="Times New Roman"/>
          <w:sz w:val="22"/>
          <w:szCs w:val="22"/>
          <w:lang w:eastAsia="en-GB"/>
        </w:rPr>
        <w:t>’s Herit</w:t>
      </w:r>
      <w:r w:rsidR="007D53B4" w:rsidRPr="00950B6D">
        <w:rPr>
          <w:rFonts w:eastAsia="Times New Roman"/>
          <w:sz w:val="22"/>
          <w:szCs w:val="22"/>
          <w:lang w:eastAsia="en-GB"/>
        </w:rPr>
        <w:t>age Team has</w:t>
      </w:r>
      <w:r w:rsidRPr="00950B6D">
        <w:rPr>
          <w:rFonts w:eastAsia="Times New Roman"/>
          <w:sz w:val="22"/>
          <w:szCs w:val="22"/>
          <w:lang w:eastAsia="en-GB"/>
        </w:rPr>
        <w:t xml:space="preserve"> produced </w:t>
      </w:r>
      <w:r w:rsidR="007E2AEB" w:rsidRPr="00950B6D">
        <w:rPr>
          <w:rFonts w:eastAsia="Times New Roman"/>
          <w:sz w:val="22"/>
          <w:szCs w:val="22"/>
          <w:lang w:eastAsia="en-GB"/>
        </w:rPr>
        <w:t xml:space="preserve">(in collaboration with Oxford Preservation Trust) </w:t>
      </w:r>
      <w:r w:rsidR="00DF602E" w:rsidRPr="00950B6D">
        <w:rPr>
          <w:rFonts w:eastAsia="Times New Roman"/>
          <w:sz w:val="22"/>
          <w:szCs w:val="22"/>
          <w:lang w:eastAsia="en-GB"/>
        </w:rPr>
        <w:t xml:space="preserve">to inform development management </w:t>
      </w:r>
      <w:r w:rsidR="007D53B4" w:rsidRPr="00950B6D">
        <w:rPr>
          <w:rFonts w:eastAsia="Times New Roman"/>
          <w:sz w:val="22"/>
          <w:szCs w:val="22"/>
          <w:lang w:eastAsia="en-GB"/>
        </w:rPr>
        <w:t>decisions in the city (</w:t>
      </w:r>
      <w:r w:rsidR="00DF602E" w:rsidRPr="00950B6D">
        <w:rPr>
          <w:rFonts w:eastAsia="Times New Roman"/>
          <w:sz w:val="22"/>
          <w:szCs w:val="22"/>
          <w:lang w:eastAsia="en-GB"/>
        </w:rPr>
        <w:t>such as Character Assessment Toolkit, Oxford Heritage Asset Register, Oxford Archaeological Plan)</w:t>
      </w:r>
      <w:r w:rsidR="007D53B4" w:rsidRPr="00950B6D">
        <w:rPr>
          <w:rFonts w:eastAsia="Times New Roman"/>
          <w:sz w:val="22"/>
          <w:szCs w:val="22"/>
          <w:lang w:eastAsia="en-GB"/>
        </w:rPr>
        <w:t>.</w:t>
      </w:r>
    </w:p>
    <w:p w14:paraId="409743DB" w14:textId="77777777" w:rsidR="000A7BC6" w:rsidRPr="00950B6D" w:rsidRDefault="000A7BC6" w:rsidP="000A7BC6">
      <w:pPr>
        <w:pStyle w:val="ListParagraph"/>
        <w:spacing w:before="120" w:after="120"/>
        <w:contextualSpacing w:val="0"/>
        <w:jc w:val="both"/>
        <w:rPr>
          <w:rFonts w:eastAsia="Times New Roman"/>
          <w:sz w:val="22"/>
          <w:szCs w:val="22"/>
          <w:lang w:eastAsia="en-GB"/>
        </w:rPr>
      </w:pPr>
    </w:p>
    <w:p w14:paraId="0612F238" w14:textId="77777777" w:rsidR="008A22C6" w:rsidRPr="000A7BC6" w:rsidRDefault="00E02DEA" w:rsidP="000A7BC6">
      <w:pPr>
        <w:spacing w:before="120" w:after="120"/>
        <w:ind w:left="360" w:firstLine="349"/>
        <w:jc w:val="both"/>
        <w:rPr>
          <w:b/>
          <w:sz w:val="22"/>
          <w:szCs w:val="22"/>
        </w:rPr>
      </w:pPr>
      <w:r w:rsidRPr="000A7BC6">
        <w:rPr>
          <w:b/>
          <w:sz w:val="22"/>
          <w:szCs w:val="22"/>
        </w:rPr>
        <w:t>Approach</w:t>
      </w:r>
      <w:r w:rsidR="00713E01" w:rsidRPr="000A7BC6">
        <w:rPr>
          <w:b/>
          <w:sz w:val="22"/>
          <w:szCs w:val="22"/>
        </w:rPr>
        <w:t xml:space="preserve"> to project</w:t>
      </w:r>
    </w:p>
    <w:p w14:paraId="1FE2F0AA" w14:textId="77777777" w:rsidR="00DF602E" w:rsidRPr="00950B6D" w:rsidRDefault="00E02DEA" w:rsidP="000A7BC6">
      <w:pPr>
        <w:pStyle w:val="ListParagraph"/>
        <w:numPr>
          <w:ilvl w:val="0"/>
          <w:numId w:val="5"/>
        </w:numPr>
        <w:spacing w:before="120" w:after="120"/>
        <w:contextualSpacing w:val="0"/>
        <w:jc w:val="both"/>
        <w:rPr>
          <w:sz w:val="22"/>
          <w:szCs w:val="22"/>
        </w:rPr>
      </w:pPr>
      <w:r w:rsidRPr="00950B6D">
        <w:rPr>
          <w:sz w:val="22"/>
          <w:szCs w:val="22"/>
        </w:rPr>
        <w:t>Understanding the significance of the views of Oxford is complex and goes beyond simply recording what is in the view.</w:t>
      </w:r>
      <w:r w:rsidR="00DF602E" w:rsidRPr="00950B6D">
        <w:rPr>
          <w:sz w:val="22"/>
          <w:szCs w:val="22"/>
        </w:rPr>
        <w:t xml:space="preserve">  Developing the methodology has been a cri</w:t>
      </w:r>
      <w:r w:rsidR="007D53B4" w:rsidRPr="00950B6D">
        <w:rPr>
          <w:sz w:val="22"/>
          <w:szCs w:val="22"/>
        </w:rPr>
        <w:t>tical element of the project, t</w:t>
      </w:r>
      <w:r w:rsidR="00DF602E" w:rsidRPr="00950B6D">
        <w:rPr>
          <w:sz w:val="22"/>
          <w:szCs w:val="22"/>
        </w:rPr>
        <w:t>o ensure it delivers the right outcomes but also so that it is compliant with current heritage management policy and government advice.</w:t>
      </w:r>
    </w:p>
    <w:p w14:paraId="60376493" w14:textId="2F0DDDE3" w:rsidR="007D53B4" w:rsidRPr="00950B6D" w:rsidRDefault="00DF602E" w:rsidP="000A7BC6">
      <w:pPr>
        <w:pStyle w:val="ListParagraph"/>
        <w:numPr>
          <w:ilvl w:val="0"/>
          <w:numId w:val="5"/>
        </w:numPr>
        <w:spacing w:before="120" w:after="120"/>
        <w:contextualSpacing w:val="0"/>
        <w:jc w:val="both"/>
        <w:rPr>
          <w:sz w:val="22"/>
          <w:szCs w:val="22"/>
        </w:rPr>
      </w:pPr>
      <w:r w:rsidRPr="00950B6D">
        <w:rPr>
          <w:sz w:val="22"/>
          <w:szCs w:val="22"/>
        </w:rPr>
        <w:t>English Heritage has a</w:t>
      </w:r>
      <w:r w:rsidR="007E2AEB" w:rsidRPr="00950B6D">
        <w:rPr>
          <w:sz w:val="22"/>
          <w:szCs w:val="22"/>
        </w:rPr>
        <w:t xml:space="preserve">lready commissioned work on </w:t>
      </w:r>
      <w:r w:rsidRPr="00950B6D">
        <w:rPr>
          <w:sz w:val="22"/>
          <w:szCs w:val="22"/>
        </w:rPr>
        <w:t>views</w:t>
      </w:r>
      <w:r w:rsidR="00713E01" w:rsidRPr="00950B6D">
        <w:rPr>
          <w:sz w:val="22"/>
          <w:szCs w:val="22"/>
        </w:rPr>
        <w:t xml:space="preserve"> (based on City of London)</w:t>
      </w:r>
      <w:r w:rsidRPr="00950B6D">
        <w:rPr>
          <w:sz w:val="22"/>
          <w:szCs w:val="22"/>
        </w:rPr>
        <w:t xml:space="preserve"> and </w:t>
      </w:r>
      <w:r w:rsidR="007E2AEB" w:rsidRPr="00950B6D">
        <w:rPr>
          <w:sz w:val="22"/>
          <w:szCs w:val="22"/>
        </w:rPr>
        <w:t xml:space="preserve">the </w:t>
      </w:r>
      <w:r w:rsidRPr="00950B6D">
        <w:rPr>
          <w:sz w:val="22"/>
          <w:szCs w:val="22"/>
        </w:rPr>
        <w:t>setting of heritage assets (</w:t>
      </w:r>
      <w:r w:rsidR="00713E01" w:rsidRPr="00950B6D">
        <w:rPr>
          <w:i/>
          <w:sz w:val="22"/>
          <w:szCs w:val="22"/>
        </w:rPr>
        <w:t xml:space="preserve">Seeing </w:t>
      </w:r>
      <w:r w:rsidRPr="00950B6D">
        <w:rPr>
          <w:i/>
          <w:sz w:val="22"/>
          <w:szCs w:val="22"/>
        </w:rPr>
        <w:t>History in the View, Setting of Heritage Assets</w:t>
      </w:r>
      <w:r w:rsidRPr="00950B6D">
        <w:rPr>
          <w:sz w:val="22"/>
          <w:szCs w:val="22"/>
        </w:rPr>
        <w:t>) and these publications have helped to inform the approach here.  Simply</w:t>
      </w:r>
      <w:r w:rsidR="007D53B4" w:rsidRPr="00950B6D">
        <w:rPr>
          <w:sz w:val="22"/>
          <w:szCs w:val="22"/>
        </w:rPr>
        <w:t xml:space="preserve"> put we wanted to</w:t>
      </w:r>
      <w:r w:rsidRPr="00950B6D">
        <w:rPr>
          <w:sz w:val="22"/>
          <w:szCs w:val="22"/>
        </w:rPr>
        <w:t xml:space="preserve"> establish what matters and why</w:t>
      </w:r>
      <w:r w:rsidR="007D53B4" w:rsidRPr="00950B6D">
        <w:rPr>
          <w:sz w:val="22"/>
          <w:szCs w:val="22"/>
        </w:rPr>
        <w:t>. T</w:t>
      </w:r>
      <w:r w:rsidRPr="00950B6D">
        <w:rPr>
          <w:sz w:val="22"/>
          <w:szCs w:val="22"/>
        </w:rPr>
        <w:t xml:space="preserve">o do that the study considers the </w:t>
      </w:r>
      <w:r w:rsidR="007D53B4" w:rsidRPr="00950B6D">
        <w:rPr>
          <w:sz w:val="22"/>
          <w:szCs w:val="22"/>
        </w:rPr>
        <w:t xml:space="preserve">characteristics and history </w:t>
      </w:r>
      <w:r w:rsidRPr="00950B6D">
        <w:rPr>
          <w:sz w:val="22"/>
          <w:szCs w:val="22"/>
        </w:rPr>
        <w:t>of the viewing place, the viewers and the view.  This is presented as a narrative with graphic</w:t>
      </w:r>
      <w:r w:rsidR="007E2AEB" w:rsidRPr="00950B6D">
        <w:rPr>
          <w:sz w:val="22"/>
          <w:szCs w:val="22"/>
        </w:rPr>
        <w:t>s</w:t>
      </w:r>
      <w:r w:rsidRPr="00950B6D">
        <w:rPr>
          <w:sz w:val="22"/>
          <w:szCs w:val="22"/>
        </w:rPr>
        <w:t xml:space="preserve"> to help illustrate the findings.  Part One of the study explains the methodology and the </w:t>
      </w:r>
      <w:r w:rsidR="007D53B4" w:rsidRPr="00950B6D">
        <w:rPr>
          <w:sz w:val="22"/>
          <w:szCs w:val="22"/>
        </w:rPr>
        <w:t xml:space="preserve">special interest of the assets that are in the view and then in </w:t>
      </w:r>
      <w:r w:rsidR="001E2E98" w:rsidRPr="00950B6D">
        <w:rPr>
          <w:sz w:val="22"/>
          <w:szCs w:val="22"/>
        </w:rPr>
        <w:t>Part T</w:t>
      </w:r>
      <w:r w:rsidR="007D53B4" w:rsidRPr="00950B6D">
        <w:rPr>
          <w:sz w:val="22"/>
          <w:szCs w:val="22"/>
        </w:rPr>
        <w:t xml:space="preserve">wo each of the ten view cones </w:t>
      </w:r>
      <w:r w:rsidR="00762730">
        <w:rPr>
          <w:sz w:val="22"/>
          <w:szCs w:val="22"/>
        </w:rPr>
        <w:t xml:space="preserve">is </w:t>
      </w:r>
      <w:r w:rsidR="007D53B4" w:rsidRPr="00950B6D">
        <w:rPr>
          <w:sz w:val="22"/>
          <w:szCs w:val="22"/>
        </w:rPr>
        <w:t xml:space="preserve">examined, with a summary of </w:t>
      </w:r>
      <w:r w:rsidR="00762730">
        <w:rPr>
          <w:sz w:val="22"/>
          <w:szCs w:val="22"/>
        </w:rPr>
        <w:t xml:space="preserve">their </w:t>
      </w:r>
      <w:r w:rsidR="007D53B4" w:rsidRPr="00950B6D">
        <w:rPr>
          <w:sz w:val="22"/>
          <w:szCs w:val="22"/>
        </w:rPr>
        <w:t>main characteristics.</w:t>
      </w:r>
    </w:p>
    <w:p w14:paraId="481A4BCB" w14:textId="60B62849" w:rsidR="007D53B4" w:rsidRPr="00950B6D" w:rsidRDefault="001E2E98" w:rsidP="000A7BC6">
      <w:pPr>
        <w:pStyle w:val="ListParagraph"/>
        <w:numPr>
          <w:ilvl w:val="0"/>
          <w:numId w:val="5"/>
        </w:numPr>
        <w:spacing w:before="120" w:after="120"/>
        <w:contextualSpacing w:val="0"/>
        <w:jc w:val="both"/>
        <w:rPr>
          <w:sz w:val="22"/>
          <w:szCs w:val="22"/>
        </w:rPr>
      </w:pPr>
      <w:r w:rsidRPr="00950B6D">
        <w:rPr>
          <w:sz w:val="22"/>
          <w:szCs w:val="22"/>
        </w:rPr>
        <w:t xml:space="preserve">The project has been a collaborative </w:t>
      </w:r>
      <w:r w:rsidR="007E2AEB" w:rsidRPr="00950B6D">
        <w:rPr>
          <w:sz w:val="22"/>
          <w:szCs w:val="22"/>
        </w:rPr>
        <w:t xml:space="preserve">and pioneering </w:t>
      </w:r>
      <w:r w:rsidRPr="00950B6D">
        <w:rPr>
          <w:sz w:val="22"/>
          <w:szCs w:val="22"/>
        </w:rPr>
        <w:t>exercise</w:t>
      </w:r>
      <w:r w:rsidR="007E2AEB" w:rsidRPr="00950B6D">
        <w:rPr>
          <w:sz w:val="22"/>
          <w:szCs w:val="22"/>
        </w:rPr>
        <w:t>,</w:t>
      </w:r>
      <w:r w:rsidRPr="00950B6D">
        <w:rPr>
          <w:sz w:val="22"/>
          <w:szCs w:val="22"/>
        </w:rPr>
        <w:t xml:space="preserve"> sharing knowledge skills and resources with Oxford Preservation Trust</w:t>
      </w:r>
      <w:r w:rsidR="007E2AEB" w:rsidRPr="00950B6D">
        <w:rPr>
          <w:sz w:val="22"/>
          <w:szCs w:val="22"/>
        </w:rPr>
        <w:t xml:space="preserve">.  </w:t>
      </w:r>
      <w:r w:rsidRPr="00950B6D">
        <w:rPr>
          <w:sz w:val="22"/>
          <w:szCs w:val="22"/>
        </w:rPr>
        <w:t xml:space="preserve"> English Heritage</w:t>
      </w:r>
      <w:r w:rsidR="007E2AEB" w:rsidRPr="00950B6D">
        <w:rPr>
          <w:sz w:val="22"/>
          <w:szCs w:val="22"/>
        </w:rPr>
        <w:t xml:space="preserve"> funded the project, </w:t>
      </w:r>
      <w:r w:rsidR="00713E01" w:rsidRPr="00950B6D">
        <w:rPr>
          <w:sz w:val="22"/>
          <w:szCs w:val="22"/>
        </w:rPr>
        <w:t xml:space="preserve">selecting the City’s heritage team to develop a methodology that would work outside London </w:t>
      </w:r>
      <w:r w:rsidR="007E2AEB" w:rsidRPr="00950B6D">
        <w:rPr>
          <w:sz w:val="22"/>
          <w:szCs w:val="22"/>
        </w:rPr>
        <w:t>acknowledging that the work would be ‘experimental’</w:t>
      </w:r>
      <w:r w:rsidRPr="00950B6D">
        <w:rPr>
          <w:sz w:val="22"/>
          <w:szCs w:val="22"/>
        </w:rPr>
        <w:t xml:space="preserve">.  </w:t>
      </w:r>
      <w:r w:rsidR="007E2AEB" w:rsidRPr="00950B6D">
        <w:rPr>
          <w:sz w:val="22"/>
          <w:szCs w:val="22"/>
        </w:rPr>
        <w:t>The knowledge</w:t>
      </w:r>
      <w:r w:rsidR="00713E01" w:rsidRPr="00950B6D">
        <w:rPr>
          <w:sz w:val="22"/>
          <w:szCs w:val="22"/>
        </w:rPr>
        <w:t xml:space="preserve"> and skills</w:t>
      </w:r>
      <w:r w:rsidR="007E2AEB" w:rsidRPr="00950B6D">
        <w:rPr>
          <w:sz w:val="22"/>
          <w:szCs w:val="22"/>
        </w:rPr>
        <w:t xml:space="preserve"> gained in carrying out developing the methodology is being shared with other authorities as part of English Heritage’s objective to ‘build capacity’ across the heritage and development management sector</w:t>
      </w:r>
      <w:r w:rsidR="00492FB6">
        <w:rPr>
          <w:sz w:val="22"/>
          <w:szCs w:val="22"/>
        </w:rPr>
        <w:t xml:space="preserve"> and</w:t>
      </w:r>
      <w:r w:rsidR="00564203">
        <w:rPr>
          <w:sz w:val="22"/>
          <w:szCs w:val="22"/>
        </w:rPr>
        <w:t xml:space="preserve"> was</w:t>
      </w:r>
      <w:r w:rsidR="00492FB6">
        <w:rPr>
          <w:sz w:val="22"/>
          <w:szCs w:val="22"/>
        </w:rPr>
        <w:t xml:space="preserve"> a key component </w:t>
      </w:r>
      <w:r w:rsidR="00713E01" w:rsidRPr="00950B6D">
        <w:rPr>
          <w:sz w:val="22"/>
          <w:szCs w:val="22"/>
        </w:rPr>
        <w:t>o</w:t>
      </w:r>
      <w:r w:rsidR="00492FB6">
        <w:rPr>
          <w:sz w:val="22"/>
          <w:szCs w:val="22"/>
        </w:rPr>
        <w:t>f</w:t>
      </w:r>
      <w:r w:rsidR="00713E01" w:rsidRPr="00950B6D">
        <w:rPr>
          <w:sz w:val="22"/>
          <w:szCs w:val="22"/>
        </w:rPr>
        <w:t xml:space="preserve"> the funding offer.</w:t>
      </w:r>
      <w:r w:rsidR="007E2AEB" w:rsidRPr="00950B6D">
        <w:rPr>
          <w:sz w:val="22"/>
          <w:szCs w:val="22"/>
        </w:rPr>
        <w:t xml:space="preserve">  </w:t>
      </w:r>
    </w:p>
    <w:p w14:paraId="1B7E984A" w14:textId="77777777" w:rsidR="00052740" w:rsidRPr="00052740" w:rsidRDefault="00052740" w:rsidP="00052740">
      <w:pPr>
        <w:spacing w:before="120" w:after="120"/>
        <w:ind w:left="360"/>
        <w:jc w:val="both"/>
        <w:rPr>
          <w:rFonts w:eastAsia="Times New Roman"/>
          <w:sz w:val="22"/>
          <w:szCs w:val="22"/>
          <w:lang w:eastAsia="en-GB"/>
        </w:rPr>
      </w:pPr>
    </w:p>
    <w:p w14:paraId="63C3A1A4" w14:textId="135B47B7" w:rsidR="007D53B4" w:rsidRPr="000A7BC6" w:rsidRDefault="00132B88" w:rsidP="000A7BC6">
      <w:pPr>
        <w:spacing w:before="120" w:after="120"/>
        <w:ind w:firstLine="709"/>
        <w:jc w:val="both"/>
        <w:rPr>
          <w:b/>
          <w:sz w:val="22"/>
          <w:szCs w:val="22"/>
        </w:rPr>
      </w:pPr>
      <w:r>
        <w:rPr>
          <w:b/>
          <w:sz w:val="22"/>
          <w:szCs w:val="22"/>
        </w:rPr>
        <w:t>Development Management</w:t>
      </w:r>
    </w:p>
    <w:p w14:paraId="6B02F261" w14:textId="4540C443" w:rsidR="007D53B4" w:rsidRPr="00564203" w:rsidRDefault="007D53B4" w:rsidP="00564203">
      <w:pPr>
        <w:pStyle w:val="ListParagraph"/>
        <w:numPr>
          <w:ilvl w:val="0"/>
          <w:numId w:val="5"/>
        </w:numPr>
        <w:spacing w:before="120" w:after="120"/>
        <w:contextualSpacing w:val="0"/>
        <w:jc w:val="both"/>
        <w:rPr>
          <w:sz w:val="22"/>
          <w:szCs w:val="22"/>
        </w:rPr>
      </w:pPr>
      <w:r w:rsidRPr="00950B6D">
        <w:rPr>
          <w:sz w:val="22"/>
          <w:szCs w:val="22"/>
        </w:rPr>
        <w:t xml:space="preserve">The existing high buildings and view cones policy has been in place since the 1960’s and broadly has served the city well.  Recent developments have highlighted a need to better understand the views so that applicants </w:t>
      </w:r>
      <w:r w:rsidR="008628F7" w:rsidRPr="00950B6D">
        <w:rPr>
          <w:sz w:val="22"/>
          <w:szCs w:val="22"/>
        </w:rPr>
        <w:t>and the local planning authorities are better able to assess the impact of proposals and landscape management regimes on the significance of the views.  The</w:t>
      </w:r>
      <w:r w:rsidRPr="00950B6D">
        <w:rPr>
          <w:sz w:val="22"/>
          <w:szCs w:val="22"/>
        </w:rPr>
        <w:t xml:space="preserve"> study is not ‘policy’</w:t>
      </w:r>
      <w:r w:rsidR="008628F7" w:rsidRPr="00950B6D">
        <w:rPr>
          <w:sz w:val="22"/>
          <w:szCs w:val="22"/>
        </w:rPr>
        <w:t xml:space="preserve"> - it represents an</w:t>
      </w:r>
      <w:r w:rsidRPr="00950B6D">
        <w:rPr>
          <w:sz w:val="22"/>
          <w:szCs w:val="22"/>
        </w:rPr>
        <w:t xml:space="preserve"> evidence base to inform decision making</w:t>
      </w:r>
      <w:r w:rsidR="00441284" w:rsidRPr="00950B6D">
        <w:rPr>
          <w:sz w:val="22"/>
          <w:szCs w:val="22"/>
        </w:rPr>
        <w:t xml:space="preserve">, in much the same way that </w:t>
      </w:r>
      <w:r w:rsidR="00432032">
        <w:rPr>
          <w:sz w:val="22"/>
          <w:szCs w:val="22"/>
        </w:rPr>
        <w:t>the</w:t>
      </w:r>
      <w:r w:rsidR="00441284" w:rsidRPr="00950B6D">
        <w:rPr>
          <w:sz w:val="22"/>
          <w:szCs w:val="22"/>
        </w:rPr>
        <w:t xml:space="preserve"> conservation area appraisals do</w:t>
      </w:r>
      <w:r w:rsidR="008628F7" w:rsidRPr="00950B6D">
        <w:rPr>
          <w:sz w:val="22"/>
          <w:szCs w:val="22"/>
        </w:rPr>
        <w:t xml:space="preserve">.  As such it will be a material consideration in decision making.  </w:t>
      </w:r>
      <w:r w:rsidR="00441284" w:rsidRPr="00564203">
        <w:rPr>
          <w:sz w:val="22"/>
          <w:szCs w:val="22"/>
        </w:rPr>
        <w:t xml:space="preserve">The robustness of its methodology and the quality of the evidence </w:t>
      </w:r>
      <w:r w:rsidR="00564203" w:rsidRPr="00564203">
        <w:rPr>
          <w:sz w:val="22"/>
          <w:szCs w:val="22"/>
        </w:rPr>
        <w:t>are</w:t>
      </w:r>
      <w:r w:rsidR="00441284" w:rsidRPr="00564203">
        <w:rPr>
          <w:sz w:val="22"/>
          <w:szCs w:val="22"/>
        </w:rPr>
        <w:t xml:space="preserve"> important</w:t>
      </w:r>
      <w:r w:rsidR="00564203" w:rsidRPr="00564203">
        <w:rPr>
          <w:sz w:val="22"/>
          <w:szCs w:val="22"/>
        </w:rPr>
        <w:t xml:space="preserve"> as the study forms part of the evidence base that will be used to inform decision-making</w:t>
      </w:r>
      <w:r w:rsidR="00441284" w:rsidRPr="00564203">
        <w:rPr>
          <w:sz w:val="22"/>
          <w:szCs w:val="22"/>
        </w:rPr>
        <w:t>.</w:t>
      </w:r>
    </w:p>
    <w:p w14:paraId="73E37C6D" w14:textId="77777777" w:rsidR="00052740" w:rsidRPr="00052740" w:rsidRDefault="00052740" w:rsidP="00052740">
      <w:pPr>
        <w:spacing w:before="120" w:after="120"/>
        <w:ind w:left="360"/>
        <w:jc w:val="both"/>
        <w:rPr>
          <w:rFonts w:eastAsia="Times New Roman"/>
          <w:sz w:val="22"/>
          <w:szCs w:val="22"/>
          <w:lang w:eastAsia="en-GB"/>
        </w:rPr>
      </w:pPr>
    </w:p>
    <w:p w14:paraId="4A4089DE" w14:textId="77777777" w:rsidR="008628F7" w:rsidRPr="00950B6D" w:rsidRDefault="008628F7" w:rsidP="000A7BC6">
      <w:pPr>
        <w:pStyle w:val="ListParagraph"/>
        <w:spacing w:before="120" w:after="120"/>
        <w:contextualSpacing w:val="0"/>
        <w:jc w:val="both"/>
        <w:rPr>
          <w:b/>
          <w:sz w:val="22"/>
          <w:szCs w:val="22"/>
        </w:rPr>
      </w:pPr>
      <w:r w:rsidRPr="00950B6D">
        <w:rPr>
          <w:b/>
          <w:sz w:val="22"/>
          <w:szCs w:val="22"/>
        </w:rPr>
        <w:t>Public Consultation</w:t>
      </w:r>
    </w:p>
    <w:p w14:paraId="28F5DF4B" w14:textId="77777777" w:rsidR="000A7BC6" w:rsidRDefault="008628F7" w:rsidP="000A7BC6">
      <w:pPr>
        <w:pStyle w:val="ListParagraph"/>
        <w:numPr>
          <w:ilvl w:val="0"/>
          <w:numId w:val="5"/>
        </w:numPr>
        <w:spacing w:before="120" w:after="120"/>
        <w:contextualSpacing w:val="0"/>
        <w:jc w:val="both"/>
        <w:rPr>
          <w:sz w:val="22"/>
          <w:szCs w:val="22"/>
        </w:rPr>
      </w:pPr>
      <w:r w:rsidRPr="00950B6D">
        <w:rPr>
          <w:sz w:val="22"/>
          <w:szCs w:val="22"/>
        </w:rPr>
        <w:t xml:space="preserve">There have been </w:t>
      </w:r>
      <w:r w:rsidR="00441284" w:rsidRPr="00950B6D">
        <w:rPr>
          <w:sz w:val="22"/>
          <w:szCs w:val="22"/>
        </w:rPr>
        <w:t>four</w:t>
      </w:r>
      <w:r w:rsidRPr="00950B6D">
        <w:rPr>
          <w:sz w:val="22"/>
          <w:szCs w:val="22"/>
        </w:rPr>
        <w:t xml:space="preserve"> key stages of consultation in the preparation of the study</w:t>
      </w:r>
      <w:r w:rsidR="006A4D45">
        <w:rPr>
          <w:sz w:val="22"/>
          <w:szCs w:val="22"/>
        </w:rPr>
        <w:t>:</w:t>
      </w:r>
      <w:r w:rsidR="000A7BC6">
        <w:rPr>
          <w:sz w:val="22"/>
          <w:szCs w:val="22"/>
        </w:rPr>
        <w:t xml:space="preserve">  </w:t>
      </w:r>
    </w:p>
    <w:p w14:paraId="7B840B52" w14:textId="1D615D77" w:rsidR="008628F7" w:rsidRPr="000A7BC6" w:rsidRDefault="007C015E" w:rsidP="000A7BC6">
      <w:pPr>
        <w:pStyle w:val="ListParagraph"/>
        <w:numPr>
          <w:ilvl w:val="0"/>
          <w:numId w:val="6"/>
        </w:numPr>
        <w:spacing w:before="120" w:after="120"/>
        <w:ind w:left="1134" w:hanging="425"/>
        <w:contextualSpacing w:val="0"/>
        <w:jc w:val="both"/>
        <w:rPr>
          <w:sz w:val="22"/>
          <w:szCs w:val="22"/>
        </w:rPr>
      </w:pPr>
      <w:r w:rsidRPr="000A7BC6">
        <w:rPr>
          <w:sz w:val="22"/>
          <w:szCs w:val="22"/>
        </w:rPr>
        <w:t>Initial f</w:t>
      </w:r>
      <w:r w:rsidR="008628F7" w:rsidRPr="000A7BC6">
        <w:rPr>
          <w:sz w:val="22"/>
          <w:szCs w:val="22"/>
        </w:rPr>
        <w:t xml:space="preserve">eedback </w:t>
      </w:r>
      <w:r w:rsidRPr="000A7BC6">
        <w:rPr>
          <w:sz w:val="22"/>
          <w:szCs w:val="22"/>
        </w:rPr>
        <w:t xml:space="preserve">at a public meeting </w:t>
      </w:r>
      <w:r w:rsidR="008628F7" w:rsidRPr="000A7BC6">
        <w:rPr>
          <w:sz w:val="22"/>
          <w:szCs w:val="22"/>
        </w:rPr>
        <w:t>after the pilot study to test the scope and methodology</w:t>
      </w:r>
      <w:r w:rsidR="0026536A" w:rsidRPr="000A7BC6">
        <w:rPr>
          <w:sz w:val="22"/>
          <w:szCs w:val="22"/>
        </w:rPr>
        <w:t xml:space="preserve"> (2010)</w:t>
      </w:r>
      <w:r w:rsidR="00F633A3">
        <w:rPr>
          <w:sz w:val="22"/>
          <w:szCs w:val="22"/>
        </w:rPr>
        <w:t>.  Following this the methodology was adapted to be less technical and more accessible</w:t>
      </w:r>
    </w:p>
    <w:p w14:paraId="13B34925" w14:textId="3B4B554E" w:rsidR="008628F7" w:rsidRPr="00950B6D" w:rsidRDefault="008628F7" w:rsidP="000A7BC6">
      <w:pPr>
        <w:pStyle w:val="ListParagraph"/>
        <w:numPr>
          <w:ilvl w:val="0"/>
          <w:numId w:val="6"/>
        </w:numPr>
        <w:spacing w:before="120" w:after="120"/>
        <w:ind w:left="1134" w:hanging="425"/>
        <w:contextualSpacing w:val="0"/>
        <w:jc w:val="both"/>
        <w:rPr>
          <w:sz w:val="22"/>
          <w:szCs w:val="22"/>
        </w:rPr>
      </w:pPr>
      <w:r w:rsidRPr="00950B6D">
        <w:rPr>
          <w:sz w:val="22"/>
          <w:szCs w:val="22"/>
        </w:rPr>
        <w:lastRenderedPageBreak/>
        <w:t xml:space="preserve">In the final draft </w:t>
      </w:r>
      <w:r w:rsidR="007C015E" w:rsidRPr="00950B6D">
        <w:rPr>
          <w:sz w:val="22"/>
          <w:szCs w:val="22"/>
        </w:rPr>
        <w:t xml:space="preserve">report </w:t>
      </w:r>
      <w:r w:rsidRPr="00950B6D">
        <w:rPr>
          <w:sz w:val="22"/>
          <w:szCs w:val="22"/>
        </w:rPr>
        <w:t>stages seeking feedback from ‘critical friends’</w:t>
      </w:r>
      <w:r w:rsidR="0026536A" w:rsidRPr="00950B6D">
        <w:rPr>
          <w:sz w:val="22"/>
          <w:szCs w:val="22"/>
        </w:rPr>
        <w:t xml:space="preserve"> (February 2014)</w:t>
      </w:r>
      <w:r w:rsidR="006A4D45">
        <w:rPr>
          <w:sz w:val="22"/>
          <w:szCs w:val="22"/>
        </w:rPr>
        <w:t>, to test the methodology.  Consultees were broadly supportive of the approach</w:t>
      </w:r>
    </w:p>
    <w:p w14:paraId="088EC806" w14:textId="47AA02B0" w:rsidR="003A4D4C" w:rsidRPr="00132B88" w:rsidRDefault="00441284" w:rsidP="003A4D4C">
      <w:pPr>
        <w:pStyle w:val="ListParagraph"/>
        <w:numPr>
          <w:ilvl w:val="0"/>
          <w:numId w:val="6"/>
        </w:numPr>
        <w:spacing w:before="120" w:after="120"/>
        <w:ind w:left="1134" w:hanging="425"/>
        <w:contextualSpacing w:val="0"/>
        <w:jc w:val="both"/>
        <w:rPr>
          <w:sz w:val="22"/>
          <w:szCs w:val="22"/>
        </w:rPr>
      </w:pPr>
      <w:r w:rsidRPr="00950B6D">
        <w:rPr>
          <w:sz w:val="22"/>
          <w:szCs w:val="22"/>
        </w:rPr>
        <w:t>Consideration by the Oxford Design Review Panel</w:t>
      </w:r>
      <w:r w:rsidR="0026536A" w:rsidRPr="00950B6D">
        <w:rPr>
          <w:sz w:val="22"/>
          <w:szCs w:val="22"/>
        </w:rPr>
        <w:t xml:space="preserve"> (April 2014)</w:t>
      </w:r>
      <w:r w:rsidR="00F633A3">
        <w:rPr>
          <w:sz w:val="22"/>
          <w:szCs w:val="22"/>
        </w:rPr>
        <w:t xml:space="preserve">.  Advice letter attached as </w:t>
      </w:r>
      <w:r w:rsidR="00F633A3" w:rsidRPr="00F633A3">
        <w:rPr>
          <w:b/>
          <w:sz w:val="22"/>
          <w:szCs w:val="22"/>
        </w:rPr>
        <w:t xml:space="preserve">Appendix </w:t>
      </w:r>
      <w:r w:rsidR="00492FB6">
        <w:rPr>
          <w:b/>
          <w:sz w:val="22"/>
          <w:szCs w:val="22"/>
        </w:rPr>
        <w:t>2</w:t>
      </w:r>
      <w:r w:rsidR="00F0645F">
        <w:rPr>
          <w:sz w:val="22"/>
          <w:szCs w:val="22"/>
        </w:rPr>
        <w:t>. In summary, the Panel recognised the value of the view cones approach in planning the Oxford skyline</w:t>
      </w:r>
      <w:r w:rsidR="0054778E">
        <w:rPr>
          <w:sz w:val="22"/>
          <w:szCs w:val="22"/>
        </w:rPr>
        <w:t xml:space="preserve"> of the future, and </w:t>
      </w:r>
      <w:r w:rsidR="003A4D4C">
        <w:rPr>
          <w:sz w:val="22"/>
          <w:szCs w:val="22"/>
        </w:rPr>
        <w:t xml:space="preserve">encouraged the Council to </w:t>
      </w:r>
      <w:r w:rsidR="00820F92">
        <w:rPr>
          <w:sz w:val="22"/>
          <w:szCs w:val="22"/>
        </w:rPr>
        <w:t>manage the inevitable changes</w:t>
      </w:r>
      <w:r w:rsidR="00657301">
        <w:rPr>
          <w:sz w:val="22"/>
          <w:szCs w:val="22"/>
        </w:rPr>
        <w:t xml:space="preserve"> in a positive manner.</w:t>
      </w:r>
    </w:p>
    <w:p w14:paraId="575F1714" w14:textId="2F8E2D99" w:rsidR="008628F7" w:rsidRPr="00132B88" w:rsidRDefault="008628F7" w:rsidP="00132B88">
      <w:pPr>
        <w:pStyle w:val="ListParagraph"/>
        <w:numPr>
          <w:ilvl w:val="0"/>
          <w:numId w:val="6"/>
        </w:numPr>
        <w:spacing w:before="120" w:after="120"/>
        <w:ind w:left="1134" w:hanging="425"/>
        <w:contextualSpacing w:val="0"/>
        <w:jc w:val="both"/>
        <w:rPr>
          <w:sz w:val="22"/>
          <w:szCs w:val="22"/>
        </w:rPr>
      </w:pPr>
      <w:r w:rsidRPr="00950B6D">
        <w:rPr>
          <w:sz w:val="22"/>
          <w:szCs w:val="22"/>
        </w:rPr>
        <w:t>Wider and formal public consultation on the final draft</w:t>
      </w:r>
      <w:r w:rsidR="0026536A" w:rsidRPr="00950B6D">
        <w:rPr>
          <w:sz w:val="22"/>
          <w:szCs w:val="22"/>
        </w:rPr>
        <w:t xml:space="preserve"> </w:t>
      </w:r>
      <w:r w:rsidR="00F633A3">
        <w:rPr>
          <w:sz w:val="22"/>
          <w:szCs w:val="22"/>
        </w:rPr>
        <w:t>(</w:t>
      </w:r>
      <w:r w:rsidR="006A4D45">
        <w:rPr>
          <w:sz w:val="22"/>
          <w:szCs w:val="22"/>
        </w:rPr>
        <w:t>June 2014</w:t>
      </w:r>
      <w:r w:rsidR="00F633A3">
        <w:rPr>
          <w:sz w:val="22"/>
          <w:szCs w:val="22"/>
        </w:rPr>
        <w:t>)</w:t>
      </w:r>
      <w:r w:rsidR="00657301">
        <w:rPr>
          <w:sz w:val="22"/>
          <w:szCs w:val="22"/>
        </w:rPr>
        <w:t xml:space="preserve"> which ran </w:t>
      </w:r>
      <w:r w:rsidR="0026536A" w:rsidRPr="00132B88">
        <w:rPr>
          <w:sz w:val="22"/>
          <w:szCs w:val="22"/>
        </w:rPr>
        <w:t>from 13</w:t>
      </w:r>
      <w:r w:rsidR="0026536A" w:rsidRPr="00132B88">
        <w:rPr>
          <w:sz w:val="22"/>
          <w:szCs w:val="22"/>
          <w:vertAlign w:val="superscript"/>
        </w:rPr>
        <w:t>th</w:t>
      </w:r>
      <w:r w:rsidR="0026536A" w:rsidRPr="00132B88">
        <w:rPr>
          <w:sz w:val="22"/>
          <w:szCs w:val="22"/>
        </w:rPr>
        <w:t xml:space="preserve"> June to 25</w:t>
      </w:r>
      <w:r w:rsidR="0026536A" w:rsidRPr="00132B88">
        <w:rPr>
          <w:sz w:val="22"/>
          <w:szCs w:val="22"/>
          <w:vertAlign w:val="superscript"/>
        </w:rPr>
        <w:t>th</w:t>
      </w:r>
      <w:r w:rsidR="0026536A" w:rsidRPr="00132B88">
        <w:rPr>
          <w:sz w:val="22"/>
          <w:szCs w:val="22"/>
        </w:rPr>
        <w:t xml:space="preserve"> July 2014.  There were 43 responses with</w:t>
      </w:r>
      <w:r w:rsidR="00C327AC" w:rsidRPr="00132B88">
        <w:rPr>
          <w:sz w:val="22"/>
          <w:szCs w:val="22"/>
        </w:rPr>
        <w:t xml:space="preserve"> 85% agreeing that the study</w:t>
      </w:r>
      <w:r w:rsidR="00E321A9" w:rsidRPr="00132B88">
        <w:rPr>
          <w:sz w:val="22"/>
          <w:szCs w:val="22"/>
        </w:rPr>
        <w:t xml:space="preserve"> successfully defines the characteristics of the 10 views and what makes them special</w:t>
      </w:r>
      <w:r w:rsidR="006A4D45" w:rsidRPr="00132B88">
        <w:rPr>
          <w:sz w:val="22"/>
          <w:szCs w:val="22"/>
        </w:rPr>
        <w:t>.</w:t>
      </w:r>
      <w:r w:rsidR="00132B88">
        <w:rPr>
          <w:sz w:val="22"/>
          <w:szCs w:val="22"/>
        </w:rPr>
        <w:t xml:space="preserve"> </w:t>
      </w:r>
      <w:r w:rsidRPr="00132B88">
        <w:rPr>
          <w:sz w:val="22"/>
          <w:szCs w:val="22"/>
        </w:rPr>
        <w:t xml:space="preserve">The results of the wider stakeholder consultation are presented in </w:t>
      </w:r>
      <w:r w:rsidR="0095053F" w:rsidRPr="00132B88">
        <w:rPr>
          <w:b/>
          <w:sz w:val="22"/>
          <w:szCs w:val="22"/>
        </w:rPr>
        <w:t xml:space="preserve">Appendix </w:t>
      </w:r>
      <w:r w:rsidR="00492FB6" w:rsidRPr="00132B88">
        <w:rPr>
          <w:b/>
          <w:sz w:val="22"/>
          <w:szCs w:val="22"/>
        </w:rPr>
        <w:t>3</w:t>
      </w:r>
      <w:r w:rsidR="00FC1CD0" w:rsidRPr="00132B88">
        <w:rPr>
          <w:sz w:val="22"/>
          <w:szCs w:val="22"/>
        </w:rPr>
        <w:t>.</w:t>
      </w:r>
    </w:p>
    <w:p w14:paraId="6E8C2AA4" w14:textId="77777777" w:rsidR="00052740" w:rsidRPr="00052740" w:rsidRDefault="00052740" w:rsidP="00052740">
      <w:pPr>
        <w:spacing w:before="120" w:after="120"/>
        <w:ind w:left="360"/>
        <w:jc w:val="both"/>
        <w:rPr>
          <w:rFonts w:eastAsia="Times New Roman"/>
          <w:sz w:val="22"/>
          <w:szCs w:val="22"/>
          <w:lang w:eastAsia="en-GB"/>
        </w:rPr>
      </w:pPr>
    </w:p>
    <w:p w14:paraId="446FB628" w14:textId="43DC812B" w:rsidR="008628F7" w:rsidRPr="00950B6D" w:rsidRDefault="00132B88" w:rsidP="000A7BC6">
      <w:pPr>
        <w:pStyle w:val="ListParagraph"/>
        <w:spacing w:before="120" w:after="120"/>
        <w:contextualSpacing w:val="0"/>
        <w:jc w:val="both"/>
        <w:rPr>
          <w:b/>
          <w:sz w:val="22"/>
          <w:szCs w:val="22"/>
        </w:rPr>
      </w:pPr>
      <w:r>
        <w:rPr>
          <w:b/>
          <w:sz w:val="22"/>
          <w:szCs w:val="22"/>
        </w:rPr>
        <w:t>Next Steps</w:t>
      </w:r>
    </w:p>
    <w:p w14:paraId="0CABF686" w14:textId="5C331A8B" w:rsidR="007C015E" w:rsidRPr="00950B6D" w:rsidRDefault="007C015E" w:rsidP="000A7BC6">
      <w:pPr>
        <w:pStyle w:val="ListParagraph"/>
        <w:numPr>
          <w:ilvl w:val="0"/>
          <w:numId w:val="5"/>
        </w:numPr>
        <w:spacing w:before="120" w:after="120"/>
        <w:contextualSpacing w:val="0"/>
        <w:jc w:val="both"/>
        <w:rPr>
          <w:sz w:val="22"/>
          <w:szCs w:val="22"/>
        </w:rPr>
      </w:pPr>
      <w:r w:rsidRPr="00950B6D">
        <w:rPr>
          <w:sz w:val="22"/>
          <w:szCs w:val="22"/>
        </w:rPr>
        <w:t>The</w:t>
      </w:r>
      <w:r w:rsidR="00132B88">
        <w:rPr>
          <w:sz w:val="22"/>
          <w:szCs w:val="22"/>
        </w:rPr>
        <w:t xml:space="preserve"> </w:t>
      </w:r>
      <w:r w:rsidRPr="00950B6D">
        <w:rPr>
          <w:sz w:val="22"/>
          <w:szCs w:val="22"/>
        </w:rPr>
        <w:t xml:space="preserve">study </w:t>
      </w:r>
      <w:r w:rsidR="000A2CB7">
        <w:rPr>
          <w:sz w:val="22"/>
          <w:szCs w:val="22"/>
        </w:rPr>
        <w:t xml:space="preserve">is </w:t>
      </w:r>
      <w:r w:rsidRPr="00950B6D">
        <w:rPr>
          <w:sz w:val="22"/>
          <w:szCs w:val="22"/>
        </w:rPr>
        <w:t>already be</w:t>
      </w:r>
      <w:r w:rsidR="00815A24" w:rsidRPr="00950B6D">
        <w:rPr>
          <w:sz w:val="22"/>
          <w:szCs w:val="22"/>
        </w:rPr>
        <w:t>ing</w:t>
      </w:r>
      <w:r w:rsidRPr="00950B6D">
        <w:rPr>
          <w:sz w:val="22"/>
          <w:szCs w:val="22"/>
        </w:rPr>
        <w:t xml:space="preserve"> used to inform the design stages of a number of proposals in the city</w:t>
      </w:r>
      <w:r w:rsidR="00391A67">
        <w:rPr>
          <w:sz w:val="22"/>
          <w:szCs w:val="22"/>
        </w:rPr>
        <w:t>,</w:t>
      </w:r>
      <w:r w:rsidR="00132B88">
        <w:rPr>
          <w:sz w:val="22"/>
          <w:szCs w:val="22"/>
        </w:rPr>
        <w:t xml:space="preserve"> </w:t>
      </w:r>
      <w:r w:rsidR="0095053F">
        <w:rPr>
          <w:sz w:val="22"/>
          <w:szCs w:val="22"/>
        </w:rPr>
        <w:t xml:space="preserve">and </w:t>
      </w:r>
      <w:r w:rsidR="00391A67">
        <w:rPr>
          <w:sz w:val="22"/>
          <w:szCs w:val="22"/>
        </w:rPr>
        <w:t xml:space="preserve">it will be </w:t>
      </w:r>
      <w:r w:rsidR="006A4D45">
        <w:rPr>
          <w:sz w:val="22"/>
          <w:szCs w:val="22"/>
        </w:rPr>
        <w:t>a material consideration in plan making and development management</w:t>
      </w:r>
      <w:r w:rsidRPr="00950B6D">
        <w:rPr>
          <w:sz w:val="22"/>
          <w:szCs w:val="22"/>
        </w:rPr>
        <w:t xml:space="preserve">.  </w:t>
      </w:r>
      <w:r w:rsidR="00593DC2">
        <w:rPr>
          <w:sz w:val="22"/>
          <w:szCs w:val="22"/>
        </w:rPr>
        <w:t>A published version</w:t>
      </w:r>
      <w:r w:rsidR="00132B88">
        <w:rPr>
          <w:sz w:val="22"/>
          <w:szCs w:val="22"/>
        </w:rPr>
        <w:t xml:space="preserve"> </w:t>
      </w:r>
      <w:r w:rsidR="0095053F">
        <w:rPr>
          <w:sz w:val="22"/>
          <w:szCs w:val="22"/>
        </w:rPr>
        <w:t>will be made available on line and in printed form</w:t>
      </w:r>
      <w:r w:rsidR="00593DC2">
        <w:rPr>
          <w:sz w:val="22"/>
          <w:szCs w:val="22"/>
        </w:rPr>
        <w:t>,</w:t>
      </w:r>
      <w:r w:rsidR="0095053F">
        <w:rPr>
          <w:sz w:val="22"/>
          <w:szCs w:val="22"/>
        </w:rPr>
        <w:t xml:space="preserve"> also </w:t>
      </w:r>
      <w:r w:rsidR="00593DC2">
        <w:rPr>
          <w:sz w:val="22"/>
          <w:szCs w:val="22"/>
        </w:rPr>
        <w:t xml:space="preserve">for use </w:t>
      </w:r>
      <w:r w:rsidR="0095053F">
        <w:rPr>
          <w:sz w:val="22"/>
          <w:szCs w:val="22"/>
        </w:rPr>
        <w:t>as an educational and research tool to encourage better understanding and enjoyment of this aspect of Oxford’s heritage.</w:t>
      </w:r>
    </w:p>
    <w:p w14:paraId="31E0DD74" w14:textId="77777777" w:rsidR="00052740" w:rsidRPr="00052740" w:rsidRDefault="00052740" w:rsidP="00052740">
      <w:pPr>
        <w:spacing w:before="120" w:after="120"/>
        <w:ind w:left="360"/>
        <w:jc w:val="both"/>
        <w:rPr>
          <w:rFonts w:eastAsia="Times New Roman"/>
          <w:sz w:val="22"/>
          <w:szCs w:val="22"/>
          <w:lang w:eastAsia="en-GB"/>
        </w:rPr>
      </w:pPr>
    </w:p>
    <w:p w14:paraId="462AF43F" w14:textId="77777777" w:rsidR="007C015E" w:rsidRPr="00950B6D" w:rsidRDefault="007C015E" w:rsidP="000A7BC6">
      <w:pPr>
        <w:pStyle w:val="ListParagraph"/>
        <w:spacing w:before="120" w:after="120"/>
        <w:contextualSpacing w:val="0"/>
        <w:jc w:val="both"/>
        <w:rPr>
          <w:b/>
          <w:sz w:val="22"/>
          <w:szCs w:val="22"/>
        </w:rPr>
      </w:pPr>
      <w:r w:rsidRPr="00950B6D">
        <w:rPr>
          <w:b/>
          <w:sz w:val="22"/>
          <w:szCs w:val="22"/>
        </w:rPr>
        <w:t>Recommendation</w:t>
      </w:r>
      <w:r w:rsidR="00441284" w:rsidRPr="00950B6D">
        <w:rPr>
          <w:b/>
          <w:sz w:val="22"/>
          <w:szCs w:val="22"/>
        </w:rPr>
        <w:t>s</w:t>
      </w:r>
    </w:p>
    <w:p w14:paraId="78E8E3DC" w14:textId="77777777" w:rsidR="007C015E" w:rsidRPr="00950B6D" w:rsidRDefault="00441284" w:rsidP="000A7BC6">
      <w:pPr>
        <w:pStyle w:val="ListParagraph"/>
        <w:spacing w:before="120" w:after="120"/>
        <w:contextualSpacing w:val="0"/>
        <w:jc w:val="both"/>
        <w:rPr>
          <w:b/>
          <w:sz w:val="22"/>
          <w:szCs w:val="22"/>
        </w:rPr>
      </w:pPr>
      <w:r w:rsidRPr="00950B6D">
        <w:rPr>
          <w:sz w:val="22"/>
          <w:szCs w:val="22"/>
        </w:rPr>
        <w:t>That the Committee</w:t>
      </w:r>
    </w:p>
    <w:p w14:paraId="197A59FF" w14:textId="77777777" w:rsidR="0095053F" w:rsidRPr="0095053F" w:rsidRDefault="0095053F" w:rsidP="0095053F">
      <w:pPr>
        <w:pStyle w:val="ListParagraph"/>
        <w:numPr>
          <w:ilvl w:val="0"/>
          <w:numId w:val="10"/>
        </w:numPr>
        <w:spacing w:before="120" w:after="120"/>
        <w:jc w:val="both"/>
        <w:rPr>
          <w:sz w:val="22"/>
          <w:szCs w:val="22"/>
        </w:rPr>
      </w:pPr>
      <w:r w:rsidRPr="0095053F">
        <w:rPr>
          <w:sz w:val="22"/>
          <w:szCs w:val="22"/>
        </w:rPr>
        <w:t xml:space="preserve">supports the conclusions of the study and agrees with the assessments of each of the views </w:t>
      </w:r>
    </w:p>
    <w:p w14:paraId="05DB54D8" w14:textId="77777777" w:rsidR="0095053F" w:rsidRDefault="0095053F" w:rsidP="0095053F">
      <w:pPr>
        <w:pStyle w:val="ListParagraph"/>
        <w:numPr>
          <w:ilvl w:val="0"/>
          <w:numId w:val="10"/>
        </w:numPr>
        <w:spacing w:before="120" w:after="120"/>
        <w:jc w:val="both"/>
        <w:rPr>
          <w:sz w:val="22"/>
          <w:szCs w:val="22"/>
        </w:rPr>
      </w:pPr>
      <w:r w:rsidRPr="0095053F">
        <w:rPr>
          <w:sz w:val="22"/>
          <w:szCs w:val="22"/>
        </w:rPr>
        <w:t>agrees the actions in the consultation report, to reflect consultation responses</w:t>
      </w:r>
    </w:p>
    <w:p w14:paraId="01C3F6BA" w14:textId="72B436B9" w:rsidR="00132B88" w:rsidRDefault="00132B88" w:rsidP="0095053F">
      <w:pPr>
        <w:pStyle w:val="ListParagraph"/>
        <w:numPr>
          <w:ilvl w:val="0"/>
          <w:numId w:val="10"/>
        </w:numPr>
        <w:spacing w:before="120" w:after="120"/>
        <w:jc w:val="both"/>
        <w:rPr>
          <w:sz w:val="22"/>
          <w:szCs w:val="22"/>
        </w:rPr>
      </w:pPr>
      <w:r>
        <w:rPr>
          <w:sz w:val="22"/>
          <w:szCs w:val="22"/>
        </w:rPr>
        <w:t>endorse the view cones assessment as evidence</w:t>
      </w:r>
    </w:p>
    <w:p w14:paraId="152CCCA9" w14:textId="2DDAE76F" w:rsidR="00132B88" w:rsidRDefault="00132B88" w:rsidP="0095053F">
      <w:pPr>
        <w:pStyle w:val="ListParagraph"/>
        <w:numPr>
          <w:ilvl w:val="0"/>
          <w:numId w:val="10"/>
        </w:numPr>
        <w:spacing w:before="120" w:after="120"/>
        <w:jc w:val="both"/>
        <w:rPr>
          <w:sz w:val="22"/>
          <w:szCs w:val="22"/>
        </w:rPr>
      </w:pPr>
      <w:r>
        <w:rPr>
          <w:sz w:val="22"/>
          <w:szCs w:val="22"/>
        </w:rPr>
        <w:t>endorse the view cones assessment as a material consideration in the determination of planning applications</w:t>
      </w:r>
      <w:r w:rsidR="00052740">
        <w:rPr>
          <w:sz w:val="22"/>
          <w:szCs w:val="22"/>
        </w:rPr>
        <w:t>.</w:t>
      </w:r>
    </w:p>
    <w:p w14:paraId="267DC460" w14:textId="77777777" w:rsidR="007B0767" w:rsidRDefault="007B0767" w:rsidP="007B0767">
      <w:pPr>
        <w:spacing w:before="120" w:after="120"/>
        <w:jc w:val="both"/>
        <w:rPr>
          <w:sz w:val="22"/>
          <w:szCs w:val="22"/>
        </w:rPr>
      </w:pPr>
    </w:p>
    <w:p w14:paraId="7123A42E" w14:textId="77777777" w:rsidR="007B0767" w:rsidRPr="007B0767" w:rsidRDefault="007B0767" w:rsidP="007B0767">
      <w:pPr>
        <w:spacing w:before="120" w:after="120"/>
        <w:jc w:val="both"/>
        <w:rPr>
          <w:sz w:val="22"/>
          <w:szCs w:val="22"/>
        </w:rPr>
      </w:pPr>
      <w:bookmarkStart w:id="0" w:name="_GoBack"/>
      <w:bookmarkEnd w:id="0"/>
    </w:p>
    <w:p w14:paraId="3394DEB1" w14:textId="025C36B9" w:rsidR="007F7458" w:rsidRDefault="007F7458" w:rsidP="00D8204F">
      <w:pPr>
        <w:ind w:right="397"/>
        <w:jc w:val="both"/>
        <w:rPr>
          <w:b/>
          <w:sz w:val="22"/>
          <w:szCs w:val="22"/>
        </w:rPr>
      </w:pPr>
      <w:r>
        <w:rPr>
          <w:b/>
          <w:sz w:val="22"/>
          <w:szCs w:val="22"/>
        </w:rPr>
        <w:t>Appendices:</w:t>
      </w:r>
    </w:p>
    <w:p w14:paraId="5657D391" w14:textId="4A4C1EFA" w:rsidR="007F7458" w:rsidRDefault="007F7458" w:rsidP="00D8204F">
      <w:pPr>
        <w:ind w:right="397"/>
        <w:jc w:val="both"/>
        <w:rPr>
          <w:b/>
          <w:sz w:val="22"/>
          <w:szCs w:val="22"/>
        </w:rPr>
      </w:pPr>
      <w:r>
        <w:rPr>
          <w:b/>
          <w:sz w:val="22"/>
          <w:szCs w:val="22"/>
        </w:rPr>
        <w:t>Appendix 1. Oxford View</w:t>
      </w:r>
      <w:r w:rsidR="00D52490">
        <w:rPr>
          <w:b/>
          <w:sz w:val="22"/>
          <w:szCs w:val="22"/>
        </w:rPr>
        <w:t xml:space="preserve"> Cones Study</w:t>
      </w:r>
    </w:p>
    <w:p w14:paraId="5119151F" w14:textId="398A66EA" w:rsidR="00D52490" w:rsidRDefault="00D52490" w:rsidP="00D8204F">
      <w:pPr>
        <w:ind w:right="397"/>
        <w:jc w:val="both"/>
        <w:rPr>
          <w:b/>
          <w:sz w:val="22"/>
          <w:szCs w:val="22"/>
        </w:rPr>
      </w:pPr>
      <w:r>
        <w:rPr>
          <w:b/>
          <w:sz w:val="22"/>
          <w:szCs w:val="22"/>
        </w:rPr>
        <w:t xml:space="preserve">Appendix 2. Advice letter from Oxford DesignReview Panel, 28 April </w:t>
      </w:r>
      <w:r w:rsidR="0008613F">
        <w:rPr>
          <w:b/>
          <w:sz w:val="22"/>
          <w:szCs w:val="22"/>
        </w:rPr>
        <w:t>2014</w:t>
      </w:r>
    </w:p>
    <w:p w14:paraId="051CB64D" w14:textId="20D80B9C" w:rsidR="0008613F" w:rsidRDefault="0008613F" w:rsidP="00D8204F">
      <w:pPr>
        <w:ind w:right="397"/>
        <w:jc w:val="both"/>
        <w:rPr>
          <w:b/>
          <w:sz w:val="22"/>
          <w:szCs w:val="22"/>
        </w:rPr>
      </w:pPr>
      <w:r>
        <w:rPr>
          <w:b/>
          <w:sz w:val="22"/>
          <w:szCs w:val="22"/>
        </w:rPr>
        <w:t>Appendix 3. Repor</w:t>
      </w:r>
      <w:r w:rsidR="005F22B7">
        <w:rPr>
          <w:b/>
          <w:sz w:val="22"/>
          <w:szCs w:val="22"/>
        </w:rPr>
        <w:t>t of public consultation, 13</w:t>
      </w:r>
      <w:r w:rsidR="00513C76">
        <w:rPr>
          <w:b/>
          <w:sz w:val="22"/>
          <w:szCs w:val="22"/>
        </w:rPr>
        <w:t xml:space="preserve"> </w:t>
      </w:r>
      <w:r w:rsidR="005F22B7">
        <w:rPr>
          <w:b/>
          <w:sz w:val="22"/>
          <w:szCs w:val="22"/>
        </w:rPr>
        <w:t>June</w:t>
      </w:r>
      <w:r>
        <w:rPr>
          <w:b/>
          <w:sz w:val="22"/>
          <w:szCs w:val="22"/>
        </w:rPr>
        <w:t xml:space="preserve"> to 25 July</w:t>
      </w:r>
      <w:r w:rsidR="005F22B7">
        <w:rPr>
          <w:b/>
          <w:sz w:val="22"/>
          <w:szCs w:val="22"/>
        </w:rPr>
        <w:t xml:space="preserve"> 2014.</w:t>
      </w:r>
    </w:p>
    <w:p w14:paraId="712FEB03" w14:textId="77777777" w:rsidR="007F7458" w:rsidRDefault="007F7458" w:rsidP="00D8204F">
      <w:pPr>
        <w:ind w:right="397"/>
        <w:jc w:val="both"/>
        <w:rPr>
          <w:b/>
          <w:sz w:val="22"/>
          <w:szCs w:val="22"/>
        </w:rPr>
      </w:pPr>
    </w:p>
    <w:p w14:paraId="5A1DF9F8" w14:textId="77777777" w:rsidR="00D8204F" w:rsidRPr="00D63801" w:rsidRDefault="00D8204F" w:rsidP="00D8204F">
      <w:pPr>
        <w:ind w:right="397"/>
        <w:jc w:val="both"/>
        <w:rPr>
          <w:sz w:val="22"/>
          <w:szCs w:val="22"/>
        </w:rPr>
      </w:pPr>
      <w:r w:rsidRPr="00D63801">
        <w:rPr>
          <w:b/>
          <w:sz w:val="22"/>
          <w:szCs w:val="22"/>
        </w:rPr>
        <w:t>Background Papers:</w:t>
      </w:r>
      <w:r w:rsidRPr="00D63801">
        <w:rPr>
          <w:sz w:val="22"/>
          <w:szCs w:val="22"/>
        </w:rPr>
        <w:t xml:space="preserve">  </w:t>
      </w:r>
      <w:r w:rsidRPr="00D63801">
        <w:rPr>
          <w:i/>
          <w:sz w:val="22"/>
          <w:szCs w:val="22"/>
        </w:rPr>
        <w:t>Understanding the</w:t>
      </w:r>
      <w:r w:rsidRPr="00D63801">
        <w:rPr>
          <w:sz w:val="22"/>
          <w:szCs w:val="22"/>
        </w:rPr>
        <w:t xml:space="preserve"> s</w:t>
      </w:r>
      <w:r w:rsidRPr="00D63801">
        <w:rPr>
          <w:i/>
          <w:sz w:val="22"/>
          <w:szCs w:val="22"/>
        </w:rPr>
        <w:t>etting of heritage assets (</w:t>
      </w:r>
      <w:r w:rsidRPr="00D63801">
        <w:rPr>
          <w:sz w:val="22"/>
          <w:szCs w:val="22"/>
        </w:rPr>
        <w:t xml:space="preserve">English Heritage </w:t>
      </w:r>
      <w:r w:rsidR="00D63801" w:rsidRPr="00D63801">
        <w:rPr>
          <w:sz w:val="22"/>
          <w:szCs w:val="22"/>
        </w:rPr>
        <w:t>2011</w:t>
      </w:r>
      <w:r w:rsidRPr="00D63801">
        <w:rPr>
          <w:i/>
          <w:sz w:val="22"/>
          <w:szCs w:val="22"/>
        </w:rPr>
        <w:t xml:space="preserve">) PPS5 Practice Guide </w:t>
      </w:r>
      <w:r w:rsidRPr="00D63801">
        <w:rPr>
          <w:sz w:val="22"/>
          <w:szCs w:val="22"/>
        </w:rPr>
        <w:t>(English Heritage 201</w:t>
      </w:r>
      <w:r w:rsidR="00D63801" w:rsidRPr="00D63801">
        <w:rPr>
          <w:sz w:val="22"/>
          <w:szCs w:val="22"/>
        </w:rPr>
        <w:t>0</w:t>
      </w:r>
      <w:r w:rsidRPr="00D63801">
        <w:rPr>
          <w:sz w:val="22"/>
          <w:szCs w:val="22"/>
        </w:rPr>
        <w:t>)</w:t>
      </w:r>
    </w:p>
    <w:p w14:paraId="4B0B7962" w14:textId="77777777" w:rsidR="00D8204F" w:rsidRPr="00D63801" w:rsidRDefault="00D8204F" w:rsidP="00D8204F">
      <w:pPr>
        <w:ind w:right="397"/>
        <w:jc w:val="both"/>
        <w:rPr>
          <w:sz w:val="22"/>
          <w:szCs w:val="22"/>
        </w:rPr>
      </w:pPr>
    </w:p>
    <w:p w14:paraId="38A8317C" w14:textId="0C5186C5" w:rsidR="008628F7" w:rsidRPr="00D63801" w:rsidRDefault="00D8204F" w:rsidP="00132B88">
      <w:pPr>
        <w:rPr>
          <w:sz w:val="22"/>
          <w:szCs w:val="22"/>
        </w:rPr>
      </w:pPr>
      <w:r w:rsidRPr="00D63801">
        <w:rPr>
          <w:b/>
          <w:sz w:val="22"/>
          <w:szCs w:val="22"/>
        </w:rPr>
        <w:t xml:space="preserve">Report author: </w:t>
      </w:r>
      <w:r w:rsidRPr="00D63801">
        <w:rPr>
          <w:sz w:val="22"/>
          <w:szCs w:val="22"/>
        </w:rPr>
        <w:t>Nick Worlledge</w:t>
      </w:r>
      <w:r w:rsidR="00132B88">
        <w:rPr>
          <w:sz w:val="22"/>
          <w:szCs w:val="22"/>
        </w:rPr>
        <w:t>, Ext 2147</w:t>
      </w:r>
    </w:p>
    <w:sectPr w:rsidR="008628F7" w:rsidRPr="00D63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Bookshelf Symbol 3"/>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MS ??"/>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5BF3"/>
    <w:multiLevelType w:val="hybridMultilevel"/>
    <w:tmpl w:val="87C874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166E9E"/>
    <w:multiLevelType w:val="hybridMultilevel"/>
    <w:tmpl w:val="C352A2C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9FB756E"/>
    <w:multiLevelType w:val="multilevel"/>
    <w:tmpl w:val="16F649D2"/>
    <w:lvl w:ilvl="0">
      <w:start w:val="1"/>
      <w:numFmt w:val="decimal"/>
      <w:pStyle w:val="Heading1"/>
      <w:lvlText w:val="%1"/>
      <w:lvlJc w:val="left"/>
      <w:pPr>
        <w:tabs>
          <w:tab w:val="num" w:pos="709"/>
        </w:tabs>
        <w:ind w:left="709" w:hanging="709"/>
      </w:pPr>
      <w:rPr>
        <w:rFonts w:hint="default"/>
      </w:rPr>
    </w:lvl>
    <w:lvl w:ilvl="1">
      <w:start w:val="1"/>
      <w:numFmt w:val="decimal"/>
      <w:pStyle w:val="luctext"/>
      <w:lvlText w:val="%1.%2"/>
      <w:lvlJc w:val="left"/>
      <w:pPr>
        <w:tabs>
          <w:tab w:val="num" w:pos="709"/>
        </w:tabs>
        <w:ind w:left="709" w:hanging="709"/>
      </w:pPr>
      <w:rPr>
        <w:rFonts w:hint="default"/>
      </w:rPr>
    </w:lvl>
    <w:lvl w:ilvl="2">
      <w:start w:val="1"/>
      <w:numFmt w:val="none"/>
      <w:pStyle w:val="Heading3"/>
      <w:lvlText w:val=""/>
      <w:lvlJc w:val="left"/>
      <w:pPr>
        <w:tabs>
          <w:tab w:val="num" w:pos="709"/>
        </w:tabs>
        <w:ind w:left="709" w:hanging="709"/>
      </w:pPr>
      <w:rPr>
        <w:rFonts w:hint="default"/>
      </w:rPr>
    </w:lvl>
    <w:lvl w:ilvl="3">
      <w:start w:val="1"/>
      <w:numFmt w:val="none"/>
      <w:pStyle w:val="Heading4"/>
      <w:lvlText w:val=""/>
      <w:lvlJc w:val="left"/>
      <w:pPr>
        <w:tabs>
          <w:tab w:val="num" w:pos="709"/>
        </w:tabs>
        <w:ind w:left="709" w:hanging="709"/>
      </w:pPr>
      <w:rPr>
        <w:rFonts w:hint="default"/>
      </w:rPr>
    </w:lvl>
    <w:lvl w:ilvl="4">
      <w:start w:val="1"/>
      <w:numFmt w:val="none"/>
      <w:pStyle w:val="Heading5"/>
      <w:lvlText w:val=""/>
      <w:lvlJc w:val="left"/>
      <w:pPr>
        <w:tabs>
          <w:tab w:val="num" w:pos="709"/>
        </w:tabs>
        <w:ind w:left="709" w:hanging="709"/>
      </w:pPr>
      <w:rPr>
        <w:rFonts w:hint="default"/>
      </w:rPr>
    </w:lvl>
    <w:lvl w:ilvl="5">
      <w:start w:val="1"/>
      <w:numFmt w:val="none"/>
      <w:pStyle w:val="Heading6"/>
      <w:lvlText w:val=""/>
      <w:lvlJc w:val="left"/>
      <w:pPr>
        <w:tabs>
          <w:tab w:val="num" w:pos="709"/>
        </w:tabs>
        <w:ind w:left="709" w:hanging="709"/>
      </w:pPr>
      <w:rPr>
        <w:rFonts w:hint="default"/>
      </w:rPr>
    </w:lvl>
    <w:lvl w:ilvl="6">
      <w:start w:val="1"/>
      <w:numFmt w:val="none"/>
      <w:pStyle w:val="Heading7"/>
      <w:lvlText w:val=""/>
      <w:lvlJc w:val="left"/>
      <w:pPr>
        <w:tabs>
          <w:tab w:val="num" w:pos="709"/>
        </w:tabs>
        <w:ind w:left="709" w:hanging="709"/>
      </w:pPr>
      <w:rPr>
        <w:rFonts w:hint="default"/>
      </w:rPr>
    </w:lvl>
    <w:lvl w:ilvl="7">
      <w:start w:val="1"/>
      <w:numFmt w:val="none"/>
      <w:pStyle w:val="Heading8"/>
      <w:lvlText w:val=""/>
      <w:lvlJc w:val="left"/>
      <w:pPr>
        <w:tabs>
          <w:tab w:val="num" w:pos="709"/>
        </w:tabs>
        <w:ind w:left="709" w:hanging="709"/>
      </w:pPr>
      <w:rPr>
        <w:rFonts w:hint="default"/>
      </w:rPr>
    </w:lvl>
    <w:lvl w:ilvl="8">
      <w:start w:val="1"/>
      <w:numFmt w:val="decimal"/>
      <w:pStyle w:val="Heading9"/>
      <w:lvlText w:val="APPENDIX %9"/>
      <w:lvlJc w:val="left"/>
      <w:pPr>
        <w:tabs>
          <w:tab w:val="num" w:pos="709"/>
        </w:tabs>
        <w:ind w:left="709" w:firstLine="0"/>
      </w:pPr>
      <w:rPr>
        <w:rFonts w:hint="default"/>
      </w:rPr>
    </w:lvl>
  </w:abstractNum>
  <w:abstractNum w:abstractNumId="3">
    <w:nsid w:val="318E4293"/>
    <w:multiLevelType w:val="hybridMultilevel"/>
    <w:tmpl w:val="8D6E3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37086E"/>
    <w:multiLevelType w:val="hybridMultilevel"/>
    <w:tmpl w:val="472E1D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EC34B0"/>
    <w:multiLevelType w:val="hybridMultilevel"/>
    <w:tmpl w:val="23CC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DF2A27"/>
    <w:multiLevelType w:val="hybridMultilevel"/>
    <w:tmpl w:val="B8087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6812DC"/>
    <w:multiLevelType w:val="multilevel"/>
    <w:tmpl w:val="57B067CE"/>
    <w:lvl w:ilvl="0">
      <w:start w:val="2"/>
      <w:numFmt w:val="decimal"/>
      <w:lvlText w:val="%1.0"/>
      <w:lvlJc w:val="left"/>
      <w:pPr>
        <w:tabs>
          <w:tab w:val="num" w:pos="780"/>
        </w:tabs>
        <w:ind w:left="780" w:hanging="780"/>
      </w:pPr>
      <w:rPr>
        <w:rFonts w:cs="Times New Roman" w:hint="default"/>
      </w:rPr>
    </w:lvl>
    <w:lvl w:ilvl="1">
      <w:start w:val="1"/>
      <w:numFmt w:val="decimal"/>
      <w:lvlText w:val="%1.%2"/>
      <w:lvlJc w:val="left"/>
      <w:pPr>
        <w:tabs>
          <w:tab w:val="num" w:pos="1500"/>
        </w:tabs>
        <w:ind w:left="1500" w:hanging="780"/>
      </w:pPr>
      <w:rPr>
        <w:rFonts w:cs="Times New Roman" w:hint="default"/>
      </w:rPr>
    </w:lvl>
    <w:lvl w:ilvl="2">
      <w:start w:val="1"/>
      <w:numFmt w:val="decimal"/>
      <w:lvlText w:val="%1.%2.%3"/>
      <w:lvlJc w:val="left"/>
      <w:pPr>
        <w:tabs>
          <w:tab w:val="num" w:pos="2220"/>
        </w:tabs>
        <w:ind w:left="2220" w:hanging="78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741D5104"/>
    <w:multiLevelType w:val="hybridMultilevel"/>
    <w:tmpl w:val="BE0C72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6"/>
  </w:num>
  <w:num w:numId="6">
    <w:abstractNumId w:val="0"/>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Marshall">
    <w15:presenceInfo w15:providerId="Windows Live" w15:userId="8268b19c01352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D7"/>
    <w:rsid w:val="00052740"/>
    <w:rsid w:val="0008613F"/>
    <w:rsid w:val="000A2CB7"/>
    <w:rsid w:val="000A7BC6"/>
    <w:rsid w:val="000B4310"/>
    <w:rsid w:val="00132B88"/>
    <w:rsid w:val="0016233A"/>
    <w:rsid w:val="001E2E98"/>
    <w:rsid w:val="00254736"/>
    <w:rsid w:val="0026536A"/>
    <w:rsid w:val="00391A67"/>
    <w:rsid w:val="003A4D4C"/>
    <w:rsid w:val="003C4ACA"/>
    <w:rsid w:val="004000D7"/>
    <w:rsid w:val="00432032"/>
    <w:rsid w:val="00441284"/>
    <w:rsid w:val="00492FB6"/>
    <w:rsid w:val="00504E43"/>
    <w:rsid w:val="00513C76"/>
    <w:rsid w:val="0054778E"/>
    <w:rsid w:val="00564203"/>
    <w:rsid w:val="00593DC2"/>
    <w:rsid w:val="005F22B7"/>
    <w:rsid w:val="00657301"/>
    <w:rsid w:val="00661045"/>
    <w:rsid w:val="006A4D45"/>
    <w:rsid w:val="00713602"/>
    <w:rsid w:val="00713E01"/>
    <w:rsid w:val="00743B72"/>
    <w:rsid w:val="00762730"/>
    <w:rsid w:val="007908F4"/>
    <w:rsid w:val="007B0767"/>
    <w:rsid w:val="007C015E"/>
    <w:rsid w:val="007D53B4"/>
    <w:rsid w:val="007E2AEB"/>
    <w:rsid w:val="007F7458"/>
    <w:rsid w:val="00815A24"/>
    <w:rsid w:val="00820F92"/>
    <w:rsid w:val="00836C20"/>
    <w:rsid w:val="008628F7"/>
    <w:rsid w:val="008A22C6"/>
    <w:rsid w:val="008C1134"/>
    <w:rsid w:val="008D1C91"/>
    <w:rsid w:val="0095053F"/>
    <w:rsid w:val="00950B6D"/>
    <w:rsid w:val="00A4258C"/>
    <w:rsid w:val="00B311F6"/>
    <w:rsid w:val="00B914FF"/>
    <w:rsid w:val="00C07F80"/>
    <w:rsid w:val="00C327AC"/>
    <w:rsid w:val="00CA68F1"/>
    <w:rsid w:val="00CA6CBA"/>
    <w:rsid w:val="00CB22D7"/>
    <w:rsid w:val="00CD2166"/>
    <w:rsid w:val="00D52490"/>
    <w:rsid w:val="00D63801"/>
    <w:rsid w:val="00D8204F"/>
    <w:rsid w:val="00DF602E"/>
    <w:rsid w:val="00E02DEA"/>
    <w:rsid w:val="00E321A9"/>
    <w:rsid w:val="00F0645F"/>
    <w:rsid w:val="00F20D2A"/>
    <w:rsid w:val="00F633A3"/>
    <w:rsid w:val="00FC1CD0"/>
    <w:rsid w:val="00FD3A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01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next w:val="Normal"/>
    <w:link w:val="Heading1Char"/>
    <w:qFormat/>
    <w:rsid w:val="00CB22D7"/>
    <w:pPr>
      <w:keepNext/>
      <w:numPr>
        <w:numId w:val="1"/>
      </w:numPr>
      <w:suppressLineNumbers/>
      <w:spacing w:after="400"/>
      <w:outlineLvl w:val="0"/>
    </w:pPr>
    <w:rPr>
      <w:rFonts w:eastAsia="Times New Roman" w:cs="Times New Roman"/>
      <w:b/>
      <w:sz w:val="34"/>
      <w:szCs w:val="34"/>
      <w:lang w:eastAsia="en-GB"/>
    </w:rPr>
  </w:style>
  <w:style w:type="paragraph" w:styleId="Heading2">
    <w:name w:val="heading 2"/>
    <w:basedOn w:val="Normal"/>
    <w:next w:val="Normal"/>
    <w:link w:val="Heading2Char"/>
    <w:uiPriority w:val="9"/>
    <w:semiHidden/>
    <w:unhideWhenUsed/>
    <w:qFormat/>
    <w:rsid w:val="00CB22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link w:val="Heading3Char"/>
    <w:qFormat/>
    <w:rsid w:val="00CB22D7"/>
    <w:pPr>
      <w:keepNext/>
      <w:numPr>
        <w:ilvl w:val="2"/>
        <w:numId w:val="1"/>
      </w:numPr>
      <w:suppressLineNumbers/>
      <w:spacing w:before="120" w:after="100"/>
      <w:outlineLvl w:val="2"/>
    </w:pPr>
    <w:rPr>
      <w:rFonts w:eastAsia="Times New Roman" w:cs="Times New Roman"/>
      <w:b/>
      <w:sz w:val="25"/>
      <w:szCs w:val="20"/>
      <w:lang w:eastAsia="en-GB"/>
    </w:rPr>
  </w:style>
  <w:style w:type="paragraph" w:styleId="Heading4">
    <w:name w:val="heading 4"/>
    <w:next w:val="Normal"/>
    <w:link w:val="Heading4Char"/>
    <w:qFormat/>
    <w:rsid w:val="00CB22D7"/>
    <w:pPr>
      <w:keepNext/>
      <w:numPr>
        <w:ilvl w:val="3"/>
        <w:numId w:val="1"/>
      </w:numPr>
      <w:suppressLineNumbers/>
      <w:spacing w:before="120" w:after="100"/>
      <w:outlineLvl w:val="3"/>
    </w:pPr>
    <w:rPr>
      <w:rFonts w:eastAsia="Times New Roman" w:cs="Times New Roman"/>
      <w:b/>
      <w:i/>
      <w:szCs w:val="20"/>
      <w:lang w:eastAsia="en-GB"/>
    </w:rPr>
  </w:style>
  <w:style w:type="paragraph" w:styleId="Heading5">
    <w:name w:val="heading 5"/>
    <w:next w:val="BodyText"/>
    <w:link w:val="Heading5Char"/>
    <w:qFormat/>
    <w:rsid w:val="00CB22D7"/>
    <w:pPr>
      <w:numPr>
        <w:ilvl w:val="4"/>
        <w:numId w:val="1"/>
      </w:numPr>
      <w:spacing w:before="240" w:after="60"/>
      <w:outlineLvl w:val="4"/>
    </w:pPr>
    <w:rPr>
      <w:rFonts w:eastAsia="Times New Roman" w:cs="Times New Roman"/>
      <w:sz w:val="22"/>
      <w:szCs w:val="20"/>
      <w:lang w:eastAsia="en-GB"/>
    </w:rPr>
  </w:style>
  <w:style w:type="paragraph" w:styleId="Heading6">
    <w:name w:val="heading 6"/>
    <w:next w:val="BodyText"/>
    <w:link w:val="Heading6Char"/>
    <w:qFormat/>
    <w:rsid w:val="00CB22D7"/>
    <w:pPr>
      <w:numPr>
        <w:ilvl w:val="5"/>
        <w:numId w:val="1"/>
      </w:numPr>
      <w:spacing w:before="240" w:after="60"/>
      <w:outlineLvl w:val="5"/>
    </w:pPr>
    <w:rPr>
      <w:rFonts w:eastAsia="Times New Roman" w:cs="Times New Roman"/>
      <w:i/>
      <w:sz w:val="22"/>
      <w:szCs w:val="20"/>
      <w:lang w:eastAsia="en-GB"/>
    </w:rPr>
  </w:style>
  <w:style w:type="paragraph" w:styleId="Heading7">
    <w:name w:val="heading 7"/>
    <w:next w:val="BodyText"/>
    <w:link w:val="Heading7Char"/>
    <w:qFormat/>
    <w:rsid w:val="00CB22D7"/>
    <w:pPr>
      <w:numPr>
        <w:ilvl w:val="6"/>
        <w:numId w:val="1"/>
      </w:numPr>
      <w:spacing w:before="240" w:after="60"/>
      <w:outlineLvl w:val="6"/>
    </w:pPr>
    <w:rPr>
      <w:rFonts w:eastAsia="Times New Roman" w:cs="Times New Roman"/>
      <w:sz w:val="20"/>
      <w:szCs w:val="20"/>
    </w:rPr>
  </w:style>
  <w:style w:type="paragraph" w:styleId="Heading8">
    <w:name w:val="heading 8"/>
    <w:basedOn w:val="Normal"/>
    <w:next w:val="BodyText"/>
    <w:link w:val="Heading8Char"/>
    <w:qFormat/>
    <w:rsid w:val="00CB22D7"/>
    <w:pPr>
      <w:numPr>
        <w:ilvl w:val="7"/>
        <w:numId w:val="1"/>
      </w:numPr>
      <w:spacing w:before="240" w:after="60"/>
      <w:jc w:val="both"/>
      <w:outlineLvl w:val="7"/>
    </w:pPr>
    <w:rPr>
      <w:rFonts w:ascii="Gill Sans MT" w:eastAsia="Times New Roman" w:hAnsi="Gill Sans MT" w:cs="Times New Roman"/>
      <w:szCs w:val="20"/>
      <w:lang w:val="x-none" w:eastAsia="x-none"/>
    </w:rPr>
  </w:style>
  <w:style w:type="paragraph" w:styleId="Heading9">
    <w:name w:val="heading 9"/>
    <w:basedOn w:val="Heading2"/>
    <w:next w:val="Normal"/>
    <w:link w:val="Heading9Char"/>
    <w:qFormat/>
    <w:rsid w:val="00CB22D7"/>
    <w:pPr>
      <w:keepLines w:val="0"/>
      <w:numPr>
        <w:ilvl w:val="8"/>
        <w:numId w:val="1"/>
      </w:numPr>
      <w:suppressLineNumbers/>
      <w:spacing w:before="0"/>
      <w:jc w:val="right"/>
      <w:outlineLvl w:val="8"/>
    </w:pPr>
    <w:rPr>
      <w:rFonts w:ascii="Arial" w:eastAsia="Times New Roman" w:hAnsi="Arial" w:cs="Times New Roman"/>
      <w:bCs w:val="0"/>
      <w:caps/>
      <w:color w:val="auto"/>
      <w:sz w:val="34"/>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2D7"/>
    <w:rPr>
      <w:rFonts w:eastAsia="Times New Roman" w:cs="Times New Roman"/>
      <w:b/>
      <w:sz w:val="34"/>
      <w:szCs w:val="34"/>
      <w:lang w:eastAsia="en-GB"/>
    </w:rPr>
  </w:style>
  <w:style w:type="character" w:customStyle="1" w:styleId="Heading3Char">
    <w:name w:val="Heading 3 Char"/>
    <w:basedOn w:val="DefaultParagraphFont"/>
    <w:link w:val="Heading3"/>
    <w:rsid w:val="00CB22D7"/>
    <w:rPr>
      <w:rFonts w:eastAsia="Times New Roman" w:cs="Times New Roman"/>
      <w:b/>
      <w:sz w:val="25"/>
      <w:szCs w:val="20"/>
      <w:lang w:eastAsia="en-GB"/>
    </w:rPr>
  </w:style>
  <w:style w:type="character" w:customStyle="1" w:styleId="Heading4Char">
    <w:name w:val="Heading 4 Char"/>
    <w:basedOn w:val="DefaultParagraphFont"/>
    <w:link w:val="Heading4"/>
    <w:rsid w:val="00CB22D7"/>
    <w:rPr>
      <w:rFonts w:eastAsia="Times New Roman" w:cs="Times New Roman"/>
      <w:b/>
      <w:i/>
      <w:szCs w:val="20"/>
      <w:lang w:eastAsia="en-GB"/>
    </w:rPr>
  </w:style>
  <w:style w:type="character" w:customStyle="1" w:styleId="Heading5Char">
    <w:name w:val="Heading 5 Char"/>
    <w:basedOn w:val="DefaultParagraphFont"/>
    <w:link w:val="Heading5"/>
    <w:rsid w:val="00CB22D7"/>
    <w:rPr>
      <w:rFonts w:eastAsia="Times New Roman" w:cs="Times New Roman"/>
      <w:sz w:val="22"/>
      <w:szCs w:val="20"/>
      <w:lang w:eastAsia="en-GB"/>
    </w:rPr>
  </w:style>
  <w:style w:type="character" w:customStyle="1" w:styleId="Heading6Char">
    <w:name w:val="Heading 6 Char"/>
    <w:basedOn w:val="DefaultParagraphFont"/>
    <w:link w:val="Heading6"/>
    <w:rsid w:val="00CB22D7"/>
    <w:rPr>
      <w:rFonts w:eastAsia="Times New Roman" w:cs="Times New Roman"/>
      <w:i/>
      <w:sz w:val="22"/>
      <w:szCs w:val="20"/>
      <w:lang w:eastAsia="en-GB"/>
    </w:rPr>
  </w:style>
  <w:style w:type="character" w:customStyle="1" w:styleId="Heading7Char">
    <w:name w:val="Heading 7 Char"/>
    <w:basedOn w:val="DefaultParagraphFont"/>
    <w:link w:val="Heading7"/>
    <w:rsid w:val="00CB22D7"/>
    <w:rPr>
      <w:rFonts w:eastAsia="Times New Roman" w:cs="Times New Roman"/>
      <w:sz w:val="20"/>
      <w:szCs w:val="20"/>
    </w:rPr>
  </w:style>
  <w:style w:type="character" w:customStyle="1" w:styleId="Heading8Char">
    <w:name w:val="Heading 8 Char"/>
    <w:basedOn w:val="DefaultParagraphFont"/>
    <w:link w:val="Heading8"/>
    <w:rsid w:val="00CB22D7"/>
    <w:rPr>
      <w:rFonts w:ascii="Gill Sans MT" w:eastAsia="Times New Roman" w:hAnsi="Gill Sans MT" w:cs="Times New Roman"/>
      <w:szCs w:val="20"/>
      <w:lang w:val="x-none" w:eastAsia="x-none"/>
    </w:rPr>
  </w:style>
  <w:style w:type="character" w:customStyle="1" w:styleId="Heading9Char">
    <w:name w:val="Heading 9 Char"/>
    <w:basedOn w:val="DefaultParagraphFont"/>
    <w:link w:val="Heading9"/>
    <w:rsid w:val="00CB22D7"/>
    <w:rPr>
      <w:rFonts w:eastAsia="Times New Roman" w:cs="Times New Roman"/>
      <w:b/>
      <w:caps/>
      <w:sz w:val="34"/>
      <w:szCs w:val="22"/>
      <w:lang w:val="x-none" w:eastAsia="x-none"/>
    </w:rPr>
  </w:style>
  <w:style w:type="paragraph" w:customStyle="1" w:styleId="luctext">
    <w:name w:val="luctext"/>
    <w:basedOn w:val="Normal"/>
    <w:rsid w:val="00CB22D7"/>
    <w:pPr>
      <w:numPr>
        <w:ilvl w:val="1"/>
        <w:numId w:val="1"/>
      </w:numPr>
      <w:spacing w:after="120"/>
    </w:pPr>
    <w:rPr>
      <w:rFonts w:ascii="Gill Sans MT" w:eastAsia="Times New Roman" w:hAnsi="Gill Sans MT" w:cs="Times New Roman"/>
      <w:szCs w:val="20"/>
      <w:lang w:eastAsia="en-GB"/>
    </w:rPr>
  </w:style>
  <w:style w:type="paragraph" w:styleId="BodyText">
    <w:name w:val="Body Text"/>
    <w:basedOn w:val="Normal"/>
    <w:link w:val="BodyTextChar"/>
    <w:uiPriority w:val="99"/>
    <w:semiHidden/>
    <w:unhideWhenUsed/>
    <w:rsid w:val="00CB22D7"/>
    <w:pPr>
      <w:spacing w:after="120"/>
    </w:pPr>
  </w:style>
  <w:style w:type="character" w:customStyle="1" w:styleId="BodyTextChar">
    <w:name w:val="Body Text Char"/>
    <w:basedOn w:val="DefaultParagraphFont"/>
    <w:link w:val="BodyText"/>
    <w:uiPriority w:val="99"/>
    <w:semiHidden/>
    <w:rsid w:val="00CB22D7"/>
  </w:style>
  <w:style w:type="character" w:customStyle="1" w:styleId="Heading2Char">
    <w:name w:val="Heading 2 Char"/>
    <w:basedOn w:val="DefaultParagraphFont"/>
    <w:link w:val="Heading2"/>
    <w:uiPriority w:val="9"/>
    <w:semiHidden/>
    <w:rsid w:val="00CB22D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628F7"/>
    <w:pPr>
      <w:ind w:left="720"/>
      <w:contextualSpacing/>
    </w:pPr>
  </w:style>
  <w:style w:type="paragraph" w:styleId="BalloonText">
    <w:name w:val="Balloon Text"/>
    <w:basedOn w:val="Normal"/>
    <w:link w:val="BalloonTextChar"/>
    <w:uiPriority w:val="99"/>
    <w:semiHidden/>
    <w:unhideWhenUsed/>
    <w:rsid w:val="00CD2166"/>
    <w:rPr>
      <w:rFonts w:ascii="Tahoma" w:hAnsi="Tahoma" w:cs="Tahoma"/>
      <w:sz w:val="16"/>
      <w:szCs w:val="16"/>
    </w:rPr>
  </w:style>
  <w:style w:type="character" w:customStyle="1" w:styleId="BalloonTextChar">
    <w:name w:val="Balloon Text Char"/>
    <w:basedOn w:val="DefaultParagraphFont"/>
    <w:link w:val="BalloonText"/>
    <w:uiPriority w:val="99"/>
    <w:semiHidden/>
    <w:rsid w:val="00CD2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next w:val="Normal"/>
    <w:link w:val="Heading1Char"/>
    <w:qFormat/>
    <w:rsid w:val="00CB22D7"/>
    <w:pPr>
      <w:keepNext/>
      <w:numPr>
        <w:numId w:val="1"/>
      </w:numPr>
      <w:suppressLineNumbers/>
      <w:spacing w:after="400"/>
      <w:outlineLvl w:val="0"/>
    </w:pPr>
    <w:rPr>
      <w:rFonts w:eastAsia="Times New Roman" w:cs="Times New Roman"/>
      <w:b/>
      <w:sz w:val="34"/>
      <w:szCs w:val="34"/>
      <w:lang w:eastAsia="en-GB"/>
    </w:rPr>
  </w:style>
  <w:style w:type="paragraph" w:styleId="Heading2">
    <w:name w:val="heading 2"/>
    <w:basedOn w:val="Normal"/>
    <w:next w:val="Normal"/>
    <w:link w:val="Heading2Char"/>
    <w:uiPriority w:val="9"/>
    <w:semiHidden/>
    <w:unhideWhenUsed/>
    <w:qFormat/>
    <w:rsid w:val="00CB22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link w:val="Heading3Char"/>
    <w:qFormat/>
    <w:rsid w:val="00CB22D7"/>
    <w:pPr>
      <w:keepNext/>
      <w:numPr>
        <w:ilvl w:val="2"/>
        <w:numId w:val="1"/>
      </w:numPr>
      <w:suppressLineNumbers/>
      <w:spacing w:before="120" w:after="100"/>
      <w:outlineLvl w:val="2"/>
    </w:pPr>
    <w:rPr>
      <w:rFonts w:eastAsia="Times New Roman" w:cs="Times New Roman"/>
      <w:b/>
      <w:sz w:val="25"/>
      <w:szCs w:val="20"/>
      <w:lang w:eastAsia="en-GB"/>
    </w:rPr>
  </w:style>
  <w:style w:type="paragraph" w:styleId="Heading4">
    <w:name w:val="heading 4"/>
    <w:next w:val="Normal"/>
    <w:link w:val="Heading4Char"/>
    <w:qFormat/>
    <w:rsid w:val="00CB22D7"/>
    <w:pPr>
      <w:keepNext/>
      <w:numPr>
        <w:ilvl w:val="3"/>
        <w:numId w:val="1"/>
      </w:numPr>
      <w:suppressLineNumbers/>
      <w:spacing w:before="120" w:after="100"/>
      <w:outlineLvl w:val="3"/>
    </w:pPr>
    <w:rPr>
      <w:rFonts w:eastAsia="Times New Roman" w:cs="Times New Roman"/>
      <w:b/>
      <w:i/>
      <w:szCs w:val="20"/>
      <w:lang w:eastAsia="en-GB"/>
    </w:rPr>
  </w:style>
  <w:style w:type="paragraph" w:styleId="Heading5">
    <w:name w:val="heading 5"/>
    <w:next w:val="BodyText"/>
    <w:link w:val="Heading5Char"/>
    <w:qFormat/>
    <w:rsid w:val="00CB22D7"/>
    <w:pPr>
      <w:numPr>
        <w:ilvl w:val="4"/>
        <w:numId w:val="1"/>
      </w:numPr>
      <w:spacing w:before="240" w:after="60"/>
      <w:outlineLvl w:val="4"/>
    </w:pPr>
    <w:rPr>
      <w:rFonts w:eastAsia="Times New Roman" w:cs="Times New Roman"/>
      <w:sz w:val="22"/>
      <w:szCs w:val="20"/>
      <w:lang w:eastAsia="en-GB"/>
    </w:rPr>
  </w:style>
  <w:style w:type="paragraph" w:styleId="Heading6">
    <w:name w:val="heading 6"/>
    <w:next w:val="BodyText"/>
    <w:link w:val="Heading6Char"/>
    <w:qFormat/>
    <w:rsid w:val="00CB22D7"/>
    <w:pPr>
      <w:numPr>
        <w:ilvl w:val="5"/>
        <w:numId w:val="1"/>
      </w:numPr>
      <w:spacing w:before="240" w:after="60"/>
      <w:outlineLvl w:val="5"/>
    </w:pPr>
    <w:rPr>
      <w:rFonts w:eastAsia="Times New Roman" w:cs="Times New Roman"/>
      <w:i/>
      <w:sz w:val="22"/>
      <w:szCs w:val="20"/>
      <w:lang w:eastAsia="en-GB"/>
    </w:rPr>
  </w:style>
  <w:style w:type="paragraph" w:styleId="Heading7">
    <w:name w:val="heading 7"/>
    <w:next w:val="BodyText"/>
    <w:link w:val="Heading7Char"/>
    <w:qFormat/>
    <w:rsid w:val="00CB22D7"/>
    <w:pPr>
      <w:numPr>
        <w:ilvl w:val="6"/>
        <w:numId w:val="1"/>
      </w:numPr>
      <w:spacing w:before="240" w:after="60"/>
      <w:outlineLvl w:val="6"/>
    </w:pPr>
    <w:rPr>
      <w:rFonts w:eastAsia="Times New Roman" w:cs="Times New Roman"/>
      <w:sz w:val="20"/>
      <w:szCs w:val="20"/>
    </w:rPr>
  </w:style>
  <w:style w:type="paragraph" w:styleId="Heading8">
    <w:name w:val="heading 8"/>
    <w:basedOn w:val="Normal"/>
    <w:next w:val="BodyText"/>
    <w:link w:val="Heading8Char"/>
    <w:qFormat/>
    <w:rsid w:val="00CB22D7"/>
    <w:pPr>
      <w:numPr>
        <w:ilvl w:val="7"/>
        <w:numId w:val="1"/>
      </w:numPr>
      <w:spacing w:before="240" w:after="60"/>
      <w:jc w:val="both"/>
      <w:outlineLvl w:val="7"/>
    </w:pPr>
    <w:rPr>
      <w:rFonts w:ascii="Gill Sans MT" w:eastAsia="Times New Roman" w:hAnsi="Gill Sans MT" w:cs="Times New Roman"/>
      <w:szCs w:val="20"/>
      <w:lang w:val="x-none" w:eastAsia="x-none"/>
    </w:rPr>
  </w:style>
  <w:style w:type="paragraph" w:styleId="Heading9">
    <w:name w:val="heading 9"/>
    <w:basedOn w:val="Heading2"/>
    <w:next w:val="Normal"/>
    <w:link w:val="Heading9Char"/>
    <w:qFormat/>
    <w:rsid w:val="00CB22D7"/>
    <w:pPr>
      <w:keepLines w:val="0"/>
      <w:numPr>
        <w:ilvl w:val="8"/>
        <w:numId w:val="1"/>
      </w:numPr>
      <w:suppressLineNumbers/>
      <w:spacing w:before="0"/>
      <w:jc w:val="right"/>
      <w:outlineLvl w:val="8"/>
    </w:pPr>
    <w:rPr>
      <w:rFonts w:ascii="Arial" w:eastAsia="Times New Roman" w:hAnsi="Arial" w:cs="Times New Roman"/>
      <w:bCs w:val="0"/>
      <w:caps/>
      <w:color w:val="auto"/>
      <w:sz w:val="34"/>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2D7"/>
    <w:rPr>
      <w:rFonts w:eastAsia="Times New Roman" w:cs="Times New Roman"/>
      <w:b/>
      <w:sz w:val="34"/>
      <w:szCs w:val="34"/>
      <w:lang w:eastAsia="en-GB"/>
    </w:rPr>
  </w:style>
  <w:style w:type="character" w:customStyle="1" w:styleId="Heading3Char">
    <w:name w:val="Heading 3 Char"/>
    <w:basedOn w:val="DefaultParagraphFont"/>
    <w:link w:val="Heading3"/>
    <w:rsid w:val="00CB22D7"/>
    <w:rPr>
      <w:rFonts w:eastAsia="Times New Roman" w:cs="Times New Roman"/>
      <w:b/>
      <w:sz w:val="25"/>
      <w:szCs w:val="20"/>
      <w:lang w:eastAsia="en-GB"/>
    </w:rPr>
  </w:style>
  <w:style w:type="character" w:customStyle="1" w:styleId="Heading4Char">
    <w:name w:val="Heading 4 Char"/>
    <w:basedOn w:val="DefaultParagraphFont"/>
    <w:link w:val="Heading4"/>
    <w:rsid w:val="00CB22D7"/>
    <w:rPr>
      <w:rFonts w:eastAsia="Times New Roman" w:cs="Times New Roman"/>
      <w:b/>
      <w:i/>
      <w:szCs w:val="20"/>
      <w:lang w:eastAsia="en-GB"/>
    </w:rPr>
  </w:style>
  <w:style w:type="character" w:customStyle="1" w:styleId="Heading5Char">
    <w:name w:val="Heading 5 Char"/>
    <w:basedOn w:val="DefaultParagraphFont"/>
    <w:link w:val="Heading5"/>
    <w:rsid w:val="00CB22D7"/>
    <w:rPr>
      <w:rFonts w:eastAsia="Times New Roman" w:cs="Times New Roman"/>
      <w:sz w:val="22"/>
      <w:szCs w:val="20"/>
      <w:lang w:eastAsia="en-GB"/>
    </w:rPr>
  </w:style>
  <w:style w:type="character" w:customStyle="1" w:styleId="Heading6Char">
    <w:name w:val="Heading 6 Char"/>
    <w:basedOn w:val="DefaultParagraphFont"/>
    <w:link w:val="Heading6"/>
    <w:rsid w:val="00CB22D7"/>
    <w:rPr>
      <w:rFonts w:eastAsia="Times New Roman" w:cs="Times New Roman"/>
      <w:i/>
      <w:sz w:val="22"/>
      <w:szCs w:val="20"/>
      <w:lang w:eastAsia="en-GB"/>
    </w:rPr>
  </w:style>
  <w:style w:type="character" w:customStyle="1" w:styleId="Heading7Char">
    <w:name w:val="Heading 7 Char"/>
    <w:basedOn w:val="DefaultParagraphFont"/>
    <w:link w:val="Heading7"/>
    <w:rsid w:val="00CB22D7"/>
    <w:rPr>
      <w:rFonts w:eastAsia="Times New Roman" w:cs="Times New Roman"/>
      <w:sz w:val="20"/>
      <w:szCs w:val="20"/>
    </w:rPr>
  </w:style>
  <w:style w:type="character" w:customStyle="1" w:styleId="Heading8Char">
    <w:name w:val="Heading 8 Char"/>
    <w:basedOn w:val="DefaultParagraphFont"/>
    <w:link w:val="Heading8"/>
    <w:rsid w:val="00CB22D7"/>
    <w:rPr>
      <w:rFonts w:ascii="Gill Sans MT" w:eastAsia="Times New Roman" w:hAnsi="Gill Sans MT" w:cs="Times New Roman"/>
      <w:szCs w:val="20"/>
      <w:lang w:val="x-none" w:eastAsia="x-none"/>
    </w:rPr>
  </w:style>
  <w:style w:type="character" w:customStyle="1" w:styleId="Heading9Char">
    <w:name w:val="Heading 9 Char"/>
    <w:basedOn w:val="DefaultParagraphFont"/>
    <w:link w:val="Heading9"/>
    <w:rsid w:val="00CB22D7"/>
    <w:rPr>
      <w:rFonts w:eastAsia="Times New Roman" w:cs="Times New Roman"/>
      <w:b/>
      <w:caps/>
      <w:sz w:val="34"/>
      <w:szCs w:val="22"/>
      <w:lang w:val="x-none" w:eastAsia="x-none"/>
    </w:rPr>
  </w:style>
  <w:style w:type="paragraph" w:customStyle="1" w:styleId="luctext">
    <w:name w:val="luctext"/>
    <w:basedOn w:val="Normal"/>
    <w:rsid w:val="00CB22D7"/>
    <w:pPr>
      <w:numPr>
        <w:ilvl w:val="1"/>
        <w:numId w:val="1"/>
      </w:numPr>
      <w:spacing w:after="120"/>
    </w:pPr>
    <w:rPr>
      <w:rFonts w:ascii="Gill Sans MT" w:eastAsia="Times New Roman" w:hAnsi="Gill Sans MT" w:cs="Times New Roman"/>
      <w:szCs w:val="20"/>
      <w:lang w:eastAsia="en-GB"/>
    </w:rPr>
  </w:style>
  <w:style w:type="paragraph" w:styleId="BodyText">
    <w:name w:val="Body Text"/>
    <w:basedOn w:val="Normal"/>
    <w:link w:val="BodyTextChar"/>
    <w:uiPriority w:val="99"/>
    <w:semiHidden/>
    <w:unhideWhenUsed/>
    <w:rsid w:val="00CB22D7"/>
    <w:pPr>
      <w:spacing w:after="120"/>
    </w:pPr>
  </w:style>
  <w:style w:type="character" w:customStyle="1" w:styleId="BodyTextChar">
    <w:name w:val="Body Text Char"/>
    <w:basedOn w:val="DefaultParagraphFont"/>
    <w:link w:val="BodyText"/>
    <w:uiPriority w:val="99"/>
    <w:semiHidden/>
    <w:rsid w:val="00CB22D7"/>
  </w:style>
  <w:style w:type="character" w:customStyle="1" w:styleId="Heading2Char">
    <w:name w:val="Heading 2 Char"/>
    <w:basedOn w:val="DefaultParagraphFont"/>
    <w:link w:val="Heading2"/>
    <w:uiPriority w:val="9"/>
    <w:semiHidden/>
    <w:rsid w:val="00CB22D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628F7"/>
    <w:pPr>
      <w:ind w:left="720"/>
      <w:contextualSpacing/>
    </w:pPr>
  </w:style>
  <w:style w:type="paragraph" w:styleId="BalloonText">
    <w:name w:val="Balloon Text"/>
    <w:basedOn w:val="Normal"/>
    <w:link w:val="BalloonTextChar"/>
    <w:uiPriority w:val="99"/>
    <w:semiHidden/>
    <w:unhideWhenUsed/>
    <w:rsid w:val="00CD2166"/>
    <w:rPr>
      <w:rFonts w:ascii="Tahoma" w:hAnsi="Tahoma" w:cs="Tahoma"/>
      <w:sz w:val="16"/>
      <w:szCs w:val="16"/>
    </w:rPr>
  </w:style>
  <w:style w:type="character" w:customStyle="1" w:styleId="BalloonTextChar">
    <w:name w:val="Balloon Text Char"/>
    <w:basedOn w:val="DefaultParagraphFont"/>
    <w:link w:val="BalloonText"/>
    <w:uiPriority w:val="99"/>
    <w:semiHidden/>
    <w:rsid w:val="00CD2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796414">
      <w:bodyDiv w:val="1"/>
      <w:marLeft w:val="0"/>
      <w:marRight w:val="0"/>
      <w:marTop w:val="0"/>
      <w:marBottom w:val="0"/>
      <w:divBdr>
        <w:top w:val="none" w:sz="0" w:space="0" w:color="auto"/>
        <w:left w:val="none" w:sz="0" w:space="0" w:color="auto"/>
        <w:bottom w:val="none" w:sz="0" w:space="0" w:color="auto"/>
        <w:right w:val="none" w:sz="0" w:space="0" w:color="auto"/>
      </w:divBdr>
    </w:div>
    <w:div w:id="119072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0A164-1891-4A9D-8C18-3879840A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EFBCF690</Template>
  <TotalTime>6</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Nick.Worlledge</dc:creator>
  <cp:lastModifiedBy>Jennifer.Thompson</cp:lastModifiedBy>
  <cp:revision>5</cp:revision>
  <dcterms:created xsi:type="dcterms:W3CDTF">2014-11-27T16:53:00Z</dcterms:created>
  <dcterms:modified xsi:type="dcterms:W3CDTF">2014-12-02T13:24:00Z</dcterms:modified>
</cp:coreProperties>
</file>